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left="480" w:firstLine="843"/>
        <w:rPr>
          <w:rFonts w:cs="CIDFont+F3" w:asciiTheme="majorEastAsia" w:hAnsiTheme="majorEastAsia" w:eastAsiaTheme="majorEastAsia"/>
          <w:b/>
          <w:kern w:val="0"/>
          <w:sz w:val="56"/>
          <w:szCs w:val="56"/>
        </w:rPr>
      </w:pPr>
    </w:p>
    <w:p>
      <w:pPr>
        <w:autoSpaceDE w:val="0"/>
        <w:autoSpaceDN w:val="0"/>
        <w:adjustRightInd w:val="0"/>
        <w:ind w:left="480" w:firstLine="783"/>
        <w:rPr>
          <w:rFonts w:cs="CIDFont+F3" w:asciiTheme="majorEastAsia" w:hAnsiTheme="majorEastAsia" w:eastAsiaTheme="majorEastAsia"/>
          <w:b/>
          <w:kern w:val="0"/>
          <w:sz w:val="52"/>
          <w:szCs w:val="52"/>
        </w:rPr>
      </w:pP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方正小标宋简体" w:hAnsi="黑体" w:eastAsia="方正小标宋简体" w:cs="宋体"/>
          <w:bCs/>
          <w:kern w:val="0"/>
          <w:sz w:val="52"/>
          <w:szCs w:val="52"/>
        </w:rPr>
      </w:pPr>
      <w:r>
        <w:rPr>
          <w:rFonts w:hint="eastAsia" w:ascii="方正小标宋简体" w:hAnsi="黑体" w:eastAsia="方正小标宋简体" w:cs="宋体"/>
          <w:bCs/>
          <w:kern w:val="0"/>
          <w:sz w:val="52"/>
          <w:szCs w:val="52"/>
        </w:rPr>
        <w:t>第五届淮安技能状元大赛</w:t>
      </w: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方正小标宋简体" w:hAnsi="黑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bCs/>
          <w:kern w:val="0"/>
          <w:sz w:val="44"/>
          <w:szCs w:val="44"/>
        </w:rPr>
        <w:t>数控铣项目技术文件</w:t>
      </w: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方正小标宋简体" w:hAnsi="黑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bCs/>
          <w:kern w:val="0"/>
          <w:sz w:val="44"/>
          <w:szCs w:val="44"/>
        </w:rPr>
        <w:t>（学生组）</w:t>
      </w:r>
    </w:p>
    <w:p>
      <w:pPr>
        <w:spacing w:line="240" w:lineRule="auto"/>
        <w:ind w:firstLine="2200" w:firstLineChars="500"/>
        <w:jc w:val="center"/>
        <w:rPr>
          <w:rFonts w:ascii="微软雅黑" w:hAnsi="微软雅黑" w:eastAsia="微软雅黑" w:cs="CIDFont+F4"/>
          <w:kern w:val="0"/>
          <w:sz w:val="44"/>
          <w:szCs w:val="44"/>
        </w:rPr>
      </w:pPr>
    </w:p>
    <w:p>
      <w:pPr>
        <w:spacing w:line="240" w:lineRule="auto"/>
        <w:ind w:firstLine="2200" w:firstLineChars="500"/>
        <w:jc w:val="center"/>
        <w:rPr>
          <w:rFonts w:ascii="微软雅黑" w:hAnsi="微软雅黑" w:eastAsia="微软雅黑" w:cs="CIDFont+F4"/>
          <w:kern w:val="0"/>
          <w:sz w:val="44"/>
          <w:szCs w:val="44"/>
        </w:rPr>
      </w:pPr>
    </w:p>
    <w:p>
      <w:pPr>
        <w:spacing w:line="240" w:lineRule="auto"/>
        <w:ind w:firstLine="2200" w:firstLineChars="500"/>
        <w:jc w:val="center"/>
        <w:rPr>
          <w:rFonts w:ascii="微软雅黑" w:hAnsi="微软雅黑" w:eastAsia="微软雅黑" w:cs="CIDFont+F4"/>
          <w:kern w:val="0"/>
          <w:sz w:val="44"/>
          <w:szCs w:val="44"/>
        </w:rPr>
      </w:pPr>
    </w:p>
    <w:p>
      <w:pPr>
        <w:spacing w:line="240" w:lineRule="auto"/>
        <w:ind w:firstLine="2200" w:firstLineChars="500"/>
        <w:jc w:val="center"/>
        <w:rPr>
          <w:rFonts w:ascii="微软雅黑" w:hAnsi="微软雅黑" w:eastAsia="微软雅黑" w:cs="CIDFont+F4"/>
          <w:kern w:val="0"/>
          <w:sz w:val="44"/>
          <w:szCs w:val="44"/>
        </w:rPr>
      </w:pPr>
    </w:p>
    <w:p>
      <w:pPr>
        <w:spacing w:line="240" w:lineRule="auto"/>
        <w:ind w:firstLine="2200" w:firstLineChars="500"/>
        <w:jc w:val="center"/>
        <w:rPr>
          <w:rFonts w:ascii="微软雅黑" w:hAnsi="微软雅黑" w:eastAsia="微软雅黑" w:cs="CIDFont+F4"/>
          <w:kern w:val="0"/>
          <w:sz w:val="44"/>
          <w:szCs w:val="44"/>
        </w:rPr>
      </w:pPr>
    </w:p>
    <w:p>
      <w:pPr>
        <w:spacing w:line="240" w:lineRule="auto"/>
        <w:ind w:firstLine="2200" w:firstLineChars="500"/>
        <w:jc w:val="center"/>
        <w:rPr>
          <w:rFonts w:ascii="微软雅黑" w:hAnsi="微软雅黑" w:eastAsia="微软雅黑" w:cs="CIDFont+F4"/>
          <w:kern w:val="0"/>
          <w:sz w:val="44"/>
          <w:szCs w:val="44"/>
        </w:rPr>
      </w:pPr>
    </w:p>
    <w:p>
      <w:pPr>
        <w:spacing w:line="240" w:lineRule="auto"/>
        <w:ind w:firstLine="2200" w:firstLineChars="500"/>
        <w:jc w:val="center"/>
        <w:rPr>
          <w:rFonts w:ascii="微软雅黑" w:hAnsi="微软雅黑" w:eastAsia="微软雅黑" w:cs="CIDFont+F4"/>
          <w:kern w:val="0"/>
          <w:sz w:val="44"/>
          <w:szCs w:val="44"/>
        </w:rPr>
      </w:pPr>
    </w:p>
    <w:p>
      <w:pPr>
        <w:spacing w:line="240" w:lineRule="auto"/>
        <w:ind w:firstLine="0" w:firstLineChars="0"/>
        <w:jc w:val="center"/>
        <w:rPr>
          <w:rFonts w:ascii="微软雅黑" w:hAnsi="微软雅黑" w:eastAsia="微软雅黑" w:cs="CIDFont+F4"/>
          <w:kern w:val="0"/>
          <w:sz w:val="44"/>
          <w:szCs w:val="44"/>
        </w:rPr>
      </w:pPr>
    </w:p>
    <w:p>
      <w:pPr>
        <w:spacing w:line="240" w:lineRule="auto"/>
        <w:ind w:firstLine="0" w:firstLineChars="0"/>
        <w:jc w:val="center"/>
        <w:rPr>
          <w:rFonts w:ascii="微软雅黑" w:hAnsi="微软雅黑" w:eastAsia="微软雅黑" w:cs="CIDFont+F4"/>
          <w:kern w:val="0"/>
          <w:sz w:val="44"/>
          <w:szCs w:val="44"/>
        </w:rPr>
      </w:pP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方正小标宋简体" w:hAnsi="黑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bCs/>
          <w:kern w:val="0"/>
          <w:sz w:val="44"/>
          <w:szCs w:val="44"/>
        </w:rPr>
        <w:t>2020年09月</w:t>
      </w: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Theme="majorEastAsia" w:hAnsiTheme="majorEastAsia" w:eastAsiaTheme="majorEastAsia" w:cstheme="majorEastAsia"/>
          <w:bCs/>
          <w:sz w:val="44"/>
          <w:szCs w:val="44"/>
        </w:rPr>
      </w:pPr>
    </w:p>
    <w:p>
      <w:pPr>
        <w:pStyle w:val="11"/>
        <w:spacing w:line="360" w:lineRule="auto"/>
        <w:rPr>
          <w:rFonts w:asciiTheme="majorEastAsia" w:hAnsiTheme="majorEastAsia" w:eastAsiaTheme="majorEastAsia" w:cstheme="majorEastAsia"/>
          <w:b w:val="0"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44"/>
          <w:szCs w:val="44"/>
        </w:rPr>
        <w:t>目  录</w:t>
      </w:r>
    </w:p>
    <w:p>
      <w:pPr>
        <w:ind w:firstLine="450"/>
      </w:pPr>
    </w:p>
    <w:p>
      <w:pPr>
        <w:pStyle w:val="11"/>
        <w:tabs>
          <w:tab w:val="right" w:leader="dot" w:pos="8306"/>
          <w:tab w:val="clear" w:pos="8296"/>
        </w:tabs>
        <w:spacing w:line="360" w:lineRule="auto"/>
        <w:jc w:val="both"/>
        <w:rPr>
          <w:rFonts w:asciiTheme="minorEastAsia" w:hAnsiTheme="minorEastAsia" w:cstheme="minorEastAsia"/>
          <w:b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kern w:val="44"/>
          <w:sz w:val="32"/>
          <w:szCs w:val="32"/>
        </w:rPr>
        <w:fldChar w:fldCharType="begin"/>
      </w:r>
      <w:r>
        <w:rPr>
          <w:rFonts w:hint="eastAsia" w:asciiTheme="minorEastAsia" w:hAnsiTheme="minorEastAsia" w:cstheme="minorEastAsia"/>
          <w:b w:val="0"/>
          <w:kern w:val="44"/>
          <w:sz w:val="32"/>
          <w:szCs w:val="32"/>
        </w:rPr>
        <w:instrText xml:space="preserve">TOC \o "1-1" \h \u </w:instrText>
      </w:r>
      <w:r>
        <w:rPr>
          <w:rFonts w:hint="eastAsia" w:asciiTheme="minorEastAsia" w:hAnsiTheme="minorEastAsia" w:cstheme="minorEastAsia"/>
          <w:b w:val="0"/>
          <w:kern w:val="44"/>
          <w:sz w:val="32"/>
          <w:szCs w:val="32"/>
        </w:rPr>
        <w:fldChar w:fldCharType="separate"/>
      </w:r>
      <w:r>
        <w:fldChar w:fldCharType="begin"/>
      </w:r>
      <w:r>
        <w:instrText xml:space="preserve"> HYPERLINK \l "_Toc22295" </w:instrText>
      </w:r>
      <w: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一、项目技术描述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ab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begin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instrText xml:space="preserve"> PAGEREF _Toc22295 </w:instrTex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1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</w:p>
    <w:p>
      <w:pPr>
        <w:pStyle w:val="11"/>
        <w:tabs>
          <w:tab w:val="right" w:leader="dot" w:pos="8306"/>
          <w:tab w:val="clear" w:pos="8296"/>
        </w:tabs>
        <w:spacing w:line="360" w:lineRule="auto"/>
        <w:jc w:val="both"/>
        <w:rPr>
          <w:rFonts w:asciiTheme="minorEastAsia" w:hAnsiTheme="minorEastAsia" w:cstheme="minorEastAsia"/>
          <w:b w:val="0"/>
          <w:sz w:val="32"/>
          <w:szCs w:val="32"/>
        </w:rPr>
      </w:pPr>
      <w:r>
        <w:fldChar w:fldCharType="begin"/>
      </w:r>
      <w:r>
        <w:instrText xml:space="preserve"> HYPERLINK \l "_Toc17431" </w:instrText>
      </w:r>
      <w: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二、选手应具备的能力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ab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begin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instrText xml:space="preserve"> PAGEREF _Toc17431 </w:instrTex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1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</w:p>
    <w:p>
      <w:pPr>
        <w:pStyle w:val="11"/>
        <w:tabs>
          <w:tab w:val="right" w:leader="dot" w:pos="8306"/>
          <w:tab w:val="clear" w:pos="8296"/>
        </w:tabs>
        <w:spacing w:line="360" w:lineRule="auto"/>
        <w:jc w:val="both"/>
        <w:rPr>
          <w:rFonts w:asciiTheme="minorEastAsia" w:hAnsiTheme="minorEastAsia" w:cstheme="minorEastAsia"/>
          <w:b w:val="0"/>
          <w:sz w:val="32"/>
          <w:szCs w:val="32"/>
        </w:rPr>
      </w:pPr>
      <w:r>
        <w:fldChar w:fldCharType="begin"/>
      </w:r>
      <w:r>
        <w:instrText xml:space="preserve"> HYPERLINK \l "_Toc23532" </w:instrText>
      </w:r>
      <w: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三、竞赛内容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ab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begin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instrText xml:space="preserve"> PAGEREF _Toc23532 </w:instrTex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1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</w:p>
    <w:p>
      <w:pPr>
        <w:pStyle w:val="11"/>
        <w:tabs>
          <w:tab w:val="right" w:leader="dot" w:pos="8306"/>
          <w:tab w:val="clear" w:pos="8296"/>
        </w:tabs>
        <w:spacing w:line="360" w:lineRule="auto"/>
        <w:jc w:val="both"/>
        <w:rPr>
          <w:rFonts w:asciiTheme="minorEastAsia" w:hAnsiTheme="minorEastAsia" w:cstheme="minorEastAsia"/>
          <w:b w:val="0"/>
          <w:sz w:val="32"/>
          <w:szCs w:val="32"/>
        </w:rPr>
      </w:pPr>
      <w:r>
        <w:fldChar w:fldCharType="begin"/>
      </w:r>
      <w:r>
        <w:instrText xml:space="preserve"> HYPERLINK \l "_Toc4044" </w:instrText>
      </w:r>
      <w: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四、场地及设施设备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ab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begin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instrText xml:space="preserve"> PAGEREF _Toc4044 </w:instrTex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4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</w:p>
    <w:p>
      <w:pPr>
        <w:pStyle w:val="11"/>
        <w:tabs>
          <w:tab w:val="right" w:leader="dot" w:pos="8306"/>
          <w:tab w:val="clear" w:pos="8296"/>
        </w:tabs>
        <w:spacing w:line="360" w:lineRule="auto"/>
        <w:jc w:val="both"/>
        <w:rPr>
          <w:rFonts w:asciiTheme="minorEastAsia" w:hAnsiTheme="minorEastAsia" w:cstheme="minorEastAsia"/>
          <w:b w:val="0"/>
          <w:kern w:val="44"/>
          <w:sz w:val="32"/>
          <w:szCs w:val="32"/>
        </w:rPr>
      </w:pPr>
      <w:r>
        <w:fldChar w:fldCharType="begin"/>
      </w:r>
      <w:r>
        <w:instrText xml:space="preserve"> HYPERLINK \l "_Toc913" </w:instrText>
      </w:r>
      <w: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五、赛事纪律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ab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begin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instrText xml:space="preserve"> PAGEREF _Toc913 </w:instrTex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8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</w:p>
    <w:p>
      <w:pPr>
        <w:pStyle w:val="11"/>
        <w:tabs>
          <w:tab w:val="right" w:leader="dot" w:pos="8306"/>
          <w:tab w:val="clear" w:pos="8296"/>
        </w:tabs>
        <w:spacing w:line="360" w:lineRule="auto"/>
        <w:jc w:val="both"/>
        <w:rPr>
          <w:rFonts w:asciiTheme="minorEastAsia" w:hAnsiTheme="minorEastAsia" w:cstheme="minorEastAsia"/>
          <w:b w:val="0"/>
          <w:sz w:val="32"/>
          <w:szCs w:val="32"/>
        </w:rPr>
      </w:pPr>
      <w:r>
        <w:fldChar w:fldCharType="begin"/>
      </w:r>
      <w:r>
        <w:instrText xml:space="preserve"> HYPERLINK \l "_Toc913" </w:instrText>
      </w:r>
      <w:r>
        <w:fldChar w:fldCharType="separate"/>
      </w:r>
      <w:r>
        <w:rPr>
          <w:rFonts w:hint="eastAsia" w:asciiTheme="minorEastAsia" w:hAnsiTheme="minorEastAsia" w:cstheme="minorEastAsia"/>
          <w:b w:val="0"/>
          <w:kern w:val="44"/>
          <w:sz w:val="32"/>
          <w:szCs w:val="32"/>
        </w:rPr>
        <w:t>六、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赛事安全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ab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begin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instrText xml:space="preserve"> PAGEREF _Toc913 </w:instrTex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8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</w:p>
    <w:p>
      <w:pPr>
        <w:pStyle w:val="11"/>
        <w:tabs>
          <w:tab w:val="right" w:leader="dot" w:pos="8306"/>
          <w:tab w:val="clear" w:pos="8296"/>
        </w:tabs>
        <w:spacing w:line="360" w:lineRule="auto"/>
        <w:jc w:val="both"/>
        <w:rPr>
          <w:rFonts w:asciiTheme="minorEastAsia" w:hAnsiTheme="minorEastAsia" w:cstheme="minorEastAsia"/>
          <w:b w:val="0"/>
          <w:sz w:val="32"/>
          <w:szCs w:val="32"/>
        </w:rPr>
      </w:pPr>
      <w:r>
        <w:fldChar w:fldCharType="begin"/>
      </w:r>
      <w:r>
        <w:instrText xml:space="preserve"> HYPERLINK \l "_Toc14578" </w:instrText>
      </w:r>
      <w: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七、绿色环保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ab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begin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instrText xml:space="preserve"> PAGEREF _Toc14578 </w:instrTex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separate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9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</w:p>
    <w:p>
      <w:pPr>
        <w:pStyle w:val="11"/>
        <w:tabs>
          <w:tab w:val="right" w:leader="dot" w:pos="8306"/>
          <w:tab w:val="clear" w:pos="8296"/>
        </w:tabs>
        <w:spacing w:line="360" w:lineRule="auto"/>
        <w:jc w:val="both"/>
        <w:rPr>
          <w:bCs/>
          <w:kern w:val="44"/>
          <w:szCs w:val="44"/>
        </w:rPr>
      </w:pPr>
      <w:r>
        <w:rPr>
          <w:rFonts w:hint="eastAsia" w:asciiTheme="minorEastAsia" w:hAnsiTheme="minorEastAsia" w:cstheme="minorEastAsia"/>
          <w:b w:val="0"/>
          <w:kern w:val="44"/>
          <w:sz w:val="32"/>
          <w:szCs w:val="32"/>
        </w:rPr>
        <w:fldChar w:fldCharType="end"/>
      </w:r>
      <w:r>
        <w:fldChar w:fldCharType="begin"/>
      </w:r>
      <w:r>
        <w:instrText xml:space="preserve"> HYPERLINK \l "_Toc913" </w:instrText>
      </w:r>
      <w:r>
        <w:fldChar w:fldCharType="separate"/>
      </w:r>
      <w:r>
        <w:rPr>
          <w:rFonts w:hint="eastAsia" w:asciiTheme="minorEastAsia" w:hAnsiTheme="minorEastAsia" w:cstheme="minorEastAsia"/>
          <w:b w:val="0"/>
          <w:kern w:val="44"/>
          <w:sz w:val="32"/>
          <w:szCs w:val="32"/>
        </w:rPr>
        <w:t>八、备注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ab/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t>1</w:t>
      </w:r>
      <w:r>
        <w:rPr>
          <w:rFonts w:hint="eastAsia" w:asciiTheme="minorEastAsia" w:hAnsiTheme="minorEastAsia" w:cstheme="minorEastAsia"/>
          <w:b w:val="0"/>
          <w:sz w:val="32"/>
          <w:szCs w:val="32"/>
        </w:rPr>
        <w:fldChar w:fldCharType="end"/>
      </w:r>
      <w:r>
        <w:rPr>
          <w:rFonts w:hint="eastAsia" w:asciiTheme="minorEastAsia" w:hAnsiTheme="minorEastAsia" w:cstheme="minorEastAsia"/>
          <w:b w:val="0"/>
          <w:kern w:val="44"/>
          <w:sz w:val="32"/>
          <w:szCs w:val="32"/>
        </w:rPr>
        <w:t>0</w:t>
      </w:r>
    </w:p>
    <w:p>
      <w:pPr>
        <w:widowControl/>
        <w:spacing w:line="360" w:lineRule="auto"/>
        <w:ind w:firstLine="0" w:firstLineChars="0"/>
        <w:jc w:val="both"/>
        <w:rPr>
          <w:b/>
          <w:bCs/>
          <w:kern w:val="44"/>
          <w:szCs w:val="44"/>
        </w:rPr>
      </w:pPr>
    </w:p>
    <w:p>
      <w:pPr>
        <w:pStyle w:val="2"/>
        <w:spacing w:line="360" w:lineRule="auto"/>
        <w:jc w:val="both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  <w:spacing w:line="360" w:lineRule="auto"/>
        <w:rPr>
          <w:rFonts w:ascii="黑体" w:hAnsi="黑体" w:cs="黑体"/>
          <w:b w:val="0"/>
          <w:sz w:val="28"/>
          <w:szCs w:val="28"/>
        </w:rPr>
      </w:pPr>
      <w:bookmarkStart w:id="0" w:name="_Toc22295"/>
      <w:r>
        <w:rPr>
          <w:rFonts w:hint="eastAsia" w:ascii="黑体" w:hAnsi="黑体" w:cs="黑体"/>
          <w:b w:val="0"/>
          <w:sz w:val="28"/>
          <w:szCs w:val="28"/>
        </w:rPr>
        <w:t>一、项目技术描述</w:t>
      </w:r>
      <w:bookmarkEnd w:id="0"/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本项目技术说明是对竞赛项目内容的框架性描述，比赛内容及要求以</w:t>
      </w:r>
      <w:r>
        <w:rPr>
          <w:rFonts w:ascii="仿宋" w:hAnsi="仿宋" w:eastAsia="仿宋"/>
          <w:kern w:val="0"/>
          <w:sz w:val="24"/>
          <w:szCs w:val="24"/>
        </w:rPr>
        <w:t>正式</w:t>
      </w:r>
      <w:r>
        <w:rPr>
          <w:rFonts w:hint="eastAsia" w:ascii="仿宋" w:hAnsi="仿宋" w:eastAsia="仿宋"/>
          <w:kern w:val="0"/>
          <w:sz w:val="24"/>
          <w:szCs w:val="24"/>
        </w:rPr>
        <w:t>赛题为准。</w:t>
      </w:r>
    </w:p>
    <w:p>
      <w:pPr>
        <w:pStyle w:val="3"/>
        <w:spacing w:line="360" w:lineRule="auto"/>
        <w:ind w:firstLine="240" w:firstLineChars="1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bookmarkStart w:id="1" w:name="_Toc47862181"/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（一）项目描述</w:t>
      </w:r>
      <w:bookmarkEnd w:id="1"/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本项目针对机械加工领域数控铣高级工岗位的职业能力要求。重点考核选手的读图识图、工艺安排、软件应用、操作加工、精度控制、效率提高、以及不同金属材料切削等综合知识和技能，真正选拔出能体现淮安数控专业职业教育最高水平的技能状元。</w:t>
      </w:r>
    </w:p>
    <w:p>
      <w:pPr>
        <w:pStyle w:val="3"/>
        <w:spacing w:line="360" w:lineRule="auto"/>
        <w:ind w:firstLine="240" w:firstLineChars="1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bookmarkStart w:id="2" w:name="_Toc47862182"/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（二）竞赛目的</w:t>
      </w:r>
      <w:bookmarkEnd w:id="2"/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数控铣赛项将全面地展现数控铣高级工的专业知识、岗位技能、职业素养和精神风貌，促进数控铣床操作技能水平的提升，引领职业教育的发展，进一步弘扬工匠精神，助力淮安经济发展。</w:t>
      </w:r>
    </w:p>
    <w:p>
      <w:pPr>
        <w:pStyle w:val="2"/>
        <w:spacing w:line="360" w:lineRule="auto"/>
        <w:jc w:val="both"/>
        <w:rPr>
          <w:rFonts w:ascii="黑体" w:hAnsi="黑体" w:cs="黑体"/>
          <w:b w:val="0"/>
          <w:sz w:val="28"/>
          <w:szCs w:val="28"/>
        </w:rPr>
      </w:pPr>
      <w:bookmarkStart w:id="3" w:name="_Toc17431"/>
      <w:bookmarkStart w:id="4" w:name="_Toc47862183"/>
      <w:r>
        <w:rPr>
          <w:rFonts w:hint="eastAsia" w:ascii="黑体" w:hAnsi="黑体" w:cs="黑体"/>
          <w:b w:val="0"/>
          <w:sz w:val="28"/>
          <w:szCs w:val="28"/>
        </w:rPr>
        <w:t>二、选手应具备的能力</w:t>
      </w:r>
      <w:bookmarkEnd w:id="3"/>
      <w:bookmarkEnd w:id="4"/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1、熟练掌握一种主流CAD/CAM软件，具备根据零件的二维图纸</w:t>
      </w:r>
      <w:r>
        <w:rPr>
          <w:rFonts w:ascii="仿宋" w:hAnsi="仿宋" w:eastAsia="仿宋"/>
          <w:kern w:val="0"/>
          <w:sz w:val="24"/>
          <w:szCs w:val="24"/>
        </w:rPr>
        <w:t>在软件上三维</w:t>
      </w:r>
      <w:r>
        <w:rPr>
          <w:rFonts w:hint="eastAsia" w:ascii="仿宋" w:hAnsi="仿宋" w:eastAsia="仿宋"/>
          <w:kern w:val="0"/>
          <w:sz w:val="24"/>
          <w:szCs w:val="24"/>
        </w:rPr>
        <w:t>建</w:t>
      </w:r>
      <w:r>
        <w:rPr>
          <w:rFonts w:ascii="仿宋" w:hAnsi="仿宋" w:eastAsia="仿宋"/>
          <w:kern w:val="0"/>
          <w:sz w:val="24"/>
          <w:szCs w:val="24"/>
        </w:rPr>
        <w:t>模自动编程的能力</w:t>
      </w:r>
      <w:r>
        <w:rPr>
          <w:rFonts w:hint="eastAsia" w:ascii="仿宋" w:hAnsi="仿宋" w:eastAsia="仿宋"/>
          <w:kern w:val="0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2、具备铣、镗、钻、铰、螺纹等编程加工的能力。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3、具备正确装夹、调校工件，合理选择刀具和切削用量，以及精准测量的能力。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4、具有安全、规范、文明生产的职业素养。</w:t>
      </w:r>
    </w:p>
    <w:p>
      <w:pPr>
        <w:pStyle w:val="2"/>
        <w:spacing w:line="360" w:lineRule="auto"/>
        <w:jc w:val="both"/>
        <w:rPr>
          <w:rFonts w:ascii="黑体" w:hAnsi="黑体" w:cs="黑体"/>
          <w:b w:val="0"/>
          <w:sz w:val="28"/>
          <w:szCs w:val="28"/>
        </w:rPr>
      </w:pPr>
      <w:bookmarkStart w:id="5" w:name="_Toc47862188"/>
      <w:bookmarkStart w:id="6" w:name="_Toc23532"/>
      <w:r>
        <w:rPr>
          <w:rFonts w:hint="eastAsia" w:ascii="黑体" w:hAnsi="黑体" w:cs="黑体"/>
          <w:b w:val="0"/>
          <w:sz w:val="28"/>
          <w:szCs w:val="28"/>
        </w:rPr>
        <w:t>三、竞赛内容</w:t>
      </w:r>
      <w:bookmarkEnd w:id="5"/>
      <w:bookmarkEnd w:id="6"/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数控铣项目竞赛内容按照《铣工（数控铣工）国家职业标准》三级（高级工）命题，参考</w:t>
      </w:r>
      <w:r>
        <w:rPr>
          <w:rFonts w:ascii="仿宋" w:hAnsi="仿宋" w:eastAsia="仿宋"/>
          <w:kern w:val="0"/>
          <w:sz w:val="24"/>
          <w:szCs w:val="24"/>
        </w:rPr>
        <w:t>世界技能大赛技术规范要求</w:t>
      </w:r>
      <w:r>
        <w:rPr>
          <w:rFonts w:hint="eastAsia" w:ascii="仿宋" w:hAnsi="仿宋" w:eastAsia="仿宋"/>
          <w:kern w:val="0"/>
          <w:sz w:val="24"/>
          <w:szCs w:val="24"/>
        </w:rPr>
        <w:t>，结合企业生产实际情况制订。</w:t>
      </w:r>
    </w:p>
    <w:p>
      <w:pPr>
        <w:pStyle w:val="3"/>
        <w:spacing w:line="360" w:lineRule="auto"/>
        <w:ind w:firstLine="240" w:firstLineChars="1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bookmarkStart w:id="7" w:name="_Toc47862189"/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（一）操作技能竞赛</w:t>
      </w:r>
      <w:bookmarkEnd w:id="7"/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根据赛题提供的二维工程图（纸质），以手工或</w:t>
      </w:r>
      <w:r>
        <w:rPr>
          <w:rFonts w:ascii="仿宋" w:hAnsi="仿宋" w:eastAsia="仿宋"/>
          <w:kern w:val="0"/>
          <w:sz w:val="24"/>
          <w:szCs w:val="24"/>
        </w:rPr>
        <w:t>CAD/CAM</w:t>
      </w:r>
      <w:r>
        <w:rPr>
          <w:rFonts w:hint="eastAsia" w:ascii="仿宋" w:hAnsi="仿宋" w:eastAsia="仿宋"/>
          <w:kern w:val="0"/>
          <w:sz w:val="24"/>
          <w:szCs w:val="24"/>
        </w:rPr>
        <w:t>编程，操作指定机床、完成零件加工。重点展示选手读图识图、编程软件应用、刀具选用、工件装夹、切削加工、尺寸测量、装配等操作技能，以及安全、规范、文明生产等职业素养。</w:t>
      </w:r>
    </w:p>
    <w:p>
      <w:pPr>
        <w:pStyle w:val="4"/>
        <w:spacing w:line="360" w:lineRule="auto"/>
        <w:ind w:firstLine="480" w:firstLineChars="2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1、试题范围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ascii="仿宋" w:hAnsi="仿宋" w:eastAsia="仿宋"/>
          <w:kern w:val="0"/>
          <w:sz w:val="24"/>
          <w:szCs w:val="24"/>
        </w:rPr>
        <w:t>竞赛包括</w:t>
      </w:r>
      <w:r>
        <w:rPr>
          <w:rFonts w:hint="eastAsia" w:ascii="仿宋" w:hAnsi="仿宋" w:eastAsia="仿宋"/>
          <w:kern w:val="0"/>
          <w:sz w:val="24"/>
          <w:szCs w:val="24"/>
        </w:rPr>
        <w:t>平面、台阶、外轮廓、槽、键、凸台（含圆台、方台等）、型腔（含圆腔、方腔等）、岛屿、螺纹、倒角等铣削加工，以及钻孔（盲孔、通孔）、攻丝（盲孔、通孔）、铰孔、镗孔</w:t>
      </w:r>
      <w:r>
        <w:rPr>
          <w:rFonts w:ascii="仿宋" w:hAnsi="仿宋" w:eastAsia="仿宋"/>
          <w:kern w:val="0"/>
          <w:sz w:val="24"/>
          <w:szCs w:val="24"/>
        </w:rPr>
        <w:t>、</w:t>
      </w:r>
      <w:r>
        <w:rPr>
          <w:rFonts w:hint="eastAsia" w:ascii="仿宋" w:hAnsi="仿宋" w:eastAsia="仿宋"/>
          <w:kern w:val="0"/>
          <w:sz w:val="24"/>
          <w:szCs w:val="24"/>
        </w:rPr>
        <w:t>去毛刺</w:t>
      </w:r>
      <w:r>
        <w:rPr>
          <w:rFonts w:ascii="仿宋" w:hAnsi="仿宋" w:eastAsia="仿宋"/>
          <w:kern w:val="0"/>
          <w:sz w:val="24"/>
          <w:szCs w:val="24"/>
        </w:rPr>
        <w:t>等操作</w:t>
      </w:r>
      <w:r>
        <w:rPr>
          <w:rFonts w:hint="eastAsia" w:ascii="仿宋" w:hAnsi="仿宋" w:eastAsia="仿宋"/>
          <w:kern w:val="0"/>
          <w:sz w:val="24"/>
          <w:szCs w:val="24"/>
        </w:rPr>
        <w:t>。</w:t>
      </w:r>
    </w:p>
    <w:p>
      <w:pPr>
        <w:pStyle w:val="4"/>
        <w:spacing w:line="360" w:lineRule="auto"/>
        <w:ind w:firstLine="480" w:firstLineChars="2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2、竞赛时间及方式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操作技能竞赛时间为</w:t>
      </w:r>
      <w:r>
        <w:rPr>
          <w:rFonts w:ascii="仿宋" w:hAnsi="仿宋" w:eastAsia="仿宋"/>
          <w:kern w:val="0"/>
          <w:sz w:val="24"/>
          <w:szCs w:val="24"/>
        </w:rPr>
        <w:t>300</w:t>
      </w:r>
      <w:r>
        <w:rPr>
          <w:rFonts w:hint="eastAsia" w:ascii="仿宋" w:hAnsi="仿宋" w:eastAsia="仿宋"/>
          <w:kern w:val="0"/>
          <w:sz w:val="24"/>
          <w:szCs w:val="24"/>
        </w:rPr>
        <w:t>分钟，在竞赛期间可以同时使用数控铣床和计算机</w:t>
      </w:r>
      <w:r>
        <w:rPr>
          <w:rFonts w:ascii="仿宋" w:hAnsi="仿宋" w:eastAsia="仿宋"/>
          <w:kern w:val="0"/>
          <w:sz w:val="24"/>
          <w:szCs w:val="24"/>
        </w:rPr>
        <w:t>CAM</w:t>
      </w:r>
      <w:r>
        <w:rPr>
          <w:rFonts w:hint="eastAsia" w:ascii="仿宋" w:hAnsi="仿宋" w:eastAsia="仿宋"/>
          <w:kern w:val="0"/>
          <w:sz w:val="24"/>
          <w:szCs w:val="24"/>
        </w:rPr>
        <w:t>编程。</w:t>
      </w:r>
    </w:p>
    <w:p>
      <w:pPr>
        <w:pStyle w:val="4"/>
        <w:spacing w:line="360" w:lineRule="auto"/>
        <w:ind w:firstLine="480" w:firstLineChars="2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3、命题方式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ascii="仿宋" w:hAnsi="仿宋" w:eastAsia="仿宋"/>
          <w:kern w:val="0"/>
          <w:sz w:val="24"/>
          <w:szCs w:val="24"/>
        </w:rPr>
        <w:t>提前公布1</w:t>
      </w:r>
      <w:r>
        <w:rPr>
          <w:rFonts w:hint="eastAsia" w:ascii="仿宋" w:hAnsi="仿宋" w:eastAsia="仿宋"/>
          <w:kern w:val="0"/>
          <w:sz w:val="24"/>
          <w:szCs w:val="24"/>
        </w:rPr>
        <w:t>套</w:t>
      </w:r>
      <w:r>
        <w:rPr>
          <w:rFonts w:ascii="仿宋" w:hAnsi="仿宋" w:eastAsia="仿宋"/>
          <w:kern w:val="0"/>
          <w:sz w:val="24"/>
          <w:szCs w:val="24"/>
        </w:rPr>
        <w:t>样题，正式比赛前由大赛技术工作组聘请专家，根据样题的毛坯、加工要素、精度、加工量及评分标准封闭进行赛题修改，修改量</w:t>
      </w:r>
      <w:r>
        <w:rPr>
          <w:rFonts w:hint="eastAsia" w:ascii="仿宋" w:hAnsi="仿宋" w:eastAsia="仿宋"/>
          <w:kern w:val="0"/>
          <w:sz w:val="24"/>
          <w:szCs w:val="24"/>
        </w:rPr>
        <w:t>不大于</w:t>
      </w:r>
      <w:r>
        <w:rPr>
          <w:rFonts w:ascii="仿宋" w:hAnsi="仿宋" w:eastAsia="仿宋"/>
          <w:kern w:val="0"/>
          <w:sz w:val="24"/>
          <w:szCs w:val="24"/>
        </w:rPr>
        <w:t>30%，修改后的赛题赛前不再公布。</w:t>
      </w:r>
    </w:p>
    <w:p>
      <w:pPr>
        <w:pStyle w:val="4"/>
        <w:spacing w:line="360" w:lineRule="auto"/>
        <w:ind w:firstLine="480" w:firstLineChars="2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4、计分方法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（1）比赛毛坯材料将包括</w:t>
      </w:r>
      <w:r>
        <w:rPr>
          <w:rFonts w:ascii="仿宋" w:hAnsi="仿宋" w:eastAsia="仿宋"/>
          <w:kern w:val="0"/>
          <w:sz w:val="24"/>
          <w:szCs w:val="24"/>
        </w:rPr>
        <w:t>钢件（</w:t>
      </w:r>
      <w:r>
        <w:rPr>
          <w:rFonts w:hint="eastAsia" w:ascii="仿宋" w:hAnsi="仿宋" w:eastAsia="仿宋"/>
          <w:kern w:val="0"/>
          <w:sz w:val="24"/>
          <w:szCs w:val="24"/>
        </w:rPr>
        <w:t>4</w:t>
      </w:r>
      <w:r>
        <w:rPr>
          <w:rFonts w:ascii="仿宋" w:hAnsi="仿宋" w:eastAsia="仿宋"/>
          <w:kern w:val="0"/>
          <w:sz w:val="24"/>
          <w:szCs w:val="24"/>
        </w:rPr>
        <w:t>5钢）和铝件（</w:t>
      </w:r>
      <w:r>
        <w:rPr>
          <w:rFonts w:hint="eastAsia" w:ascii="仿宋" w:hAnsi="仿宋" w:eastAsia="仿宋"/>
          <w:kern w:val="0"/>
          <w:sz w:val="24"/>
          <w:szCs w:val="24"/>
        </w:rPr>
        <w:t>2A12），</w:t>
      </w:r>
      <w:r>
        <w:rPr>
          <w:rFonts w:ascii="仿宋" w:hAnsi="仿宋" w:eastAsia="仿宋"/>
          <w:kern w:val="0"/>
          <w:sz w:val="24"/>
          <w:szCs w:val="24"/>
        </w:rPr>
        <w:t>总分</w:t>
      </w:r>
      <w:r>
        <w:rPr>
          <w:rFonts w:hint="eastAsia" w:ascii="仿宋" w:hAnsi="仿宋" w:eastAsia="仿宋"/>
          <w:kern w:val="0"/>
          <w:sz w:val="24"/>
          <w:szCs w:val="24"/>
        </w:rPr>
        <w:t>为</w:t>
      </w:r>
      <w:r>
        <w:rPr>
          <w:rFonts w:ascii="仿宋" w:hAnsi="仿宋" w:eastAsia="仿宋"/>
          <w:kern w:val="0"/>
          <w:sz w:val="24"/>
          <w:szCs w:val="24"/>
        </w:rPr>
        <w:t>100</w:t>
      </w:r>
      <w:r>
        <w:rPr>
          <w:rFonts w:hint="eastAsia" w:ascii="仿宋" w:hAnsi="仿宋" w:eastAsia="仿宋"/>
          <w:kern w:val="0"/>
          <w:sz w:val="24"/>
          <w:szCs w:val="24"/>
        </w:rPr>
        <w:t>分。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（2）由</w:t>
      </w:r>
      <w:r>
        <w:rPr>
          <w:rFonts w:ascii="仿宋" w:hAnsi="仿宋" w:eastAsia="仿宋"/>
          <w:kern w:val="0"/>
          <w:sz w:val="24"/>
          <w:szCs w:val="24"/>
        </w:rPr>
        <w:t>组委会</w:t>
      </w:r>
      <w:r>
        <w:rPr>
          <w:rFonts w:hint="eastAsia" w:ascii="仿宋" w:hAnsi="仿宋" w:eastAsia="仿宋"/>
          <w:kern w:val="0"/>
          <w:sz w:val="24"/>
          <w:szCs w:val="24"/>
        </w:rPr>
        <w:t>组织现场</w:t>
      </w:r>
      <w:r>
        <w:rPr>
          <w:rFonts w:ascii="仿宋" w:hAnsi="仿宋" w:eastAsia="仿宋"/>
          <w:kern w:val="0"/>
          <w:sz w:val="24"/>
          <w:szCs w:val="24"/>
        </w:rPr>
        <w:t>裁判、评分裁判</w:t>
      </w:r>
      <w:r>
        <w:rPr>
          <w:rFonts w:hint="eastAsia" w:ascii="仿宋" w:hAnsi="仿宋" w:eastAsia="仿宋"/>
          <w:kern w:val="0"/>
          <w:sz w:val="24"/>
          <w:szCs w:val="24"/>
        </w:rPr>
        <w:t>进行</w:t>
      </w:r>
      <w:r>
        <w:rPr>
          <w:rFonts w:ascii="仿宋" w:hAnsi="仿宋" w:eastAsia="仿宋"/>
          <w:kern w:val="0"/>
          <w:sz w:val="24"/>
          <w:szCs w:val="24"/>
        </w:rPr>
        <w:t>评分。</w:t>
      </w:r>
    </w:p>
    <w:p>
      <w:pPr>
        <w:pStyle w:val="3"/>
        <w:spacing w:line="360" w:lineRule="auto"/>
        <w:ind w:firstLine="240" w:firstLineChars="1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bookmarkStart w:id="8" w:name="_Toc47862190"/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（二）比赛场次安排</w:t>
      </w:r>
      <w:bookmarkEnd w:id="8"/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操作技能比赛在</w:t>
      </w:r>
      <w:r>
        <w:rPr>
          <w:rFonts w:ascii="仿宋" w:hAnsi="仿宋" w:eastAsia="仿宋"/>
          <w:kern w:val="0"/>
          <w:sz w:val="24"/>
          <w:szCs w:val="24"/>
        </w:rPr>
        <w:t>1</w:t>
      </w:r>
      <w:r>
        <w:rPr>
          <w:rFonts w:hint="eastAsia" w:ascii="仿宋" w:hAnsi="仿宋" w:eastAsia="仿宋"/>
          <w:kern w:val="0"/>
          <w:sz w:val="24"/>
          <w:szCs w:val="24"/>
        </w:rPr>
        <w:t>天内分</w:t>
      </w:r>
      <w:r>
        <w:rPr>
          <w:rFonts w:ascii="仿宋" w:hAnsi="仿宋" w:eastAsia="仿宋"/>
          <w:kern w:val="0"/>
          <w:sz w:val="24"/>
          <w:szCs w:val="24"/>
        </w:rPr>
        <w:t>2</w:t>
      </w:r>
      <w:r>
        <w:rPr>
          <w:rFonts w:hint="eastAsia" w:ascii="仿宋" w:hAnsi="仿宋" w:eastAsia="仿宋"/>
          <w:kern w:val="0"/>
          <w:sz w:val="24"/>
          <w:szCs w:val="24"/>
        </w:rPr>
        <w:t>场完成。选手出场次序由赛前抽签确定。</w:t>
      </w:r>
    </w:p>
    <w:p>
      <w:pPr>
        <w:pStyle w:val="2"/>
        <w:spacing w:line="360" w:lineRule="auto"/>
        <w:jc w:val="both"/>
        <w:rPr>
          <w:rFonts w:ascii="黑体" w:hAnsi="黑体" w:cs="黑体"/>
          <w:b w:val="0"/>
          <w:sz w:val="28"/>
          <w:szCs w:val="28"/>
        </w:rPr>
      </w:pPr>
      <w:bookmarkStart w:id="9" w:name="_Toc47862191"/>
      <w:bookmarkStart w:id="10" w:name="_Toc4044"/>
      <w:r>
        <w:rPr>
          <w:rFonts w:hint="eastAsia" w:ascii="黑体" w:hAnsi="黑体" w:cs="黑体"/>
          <w:b w:val="0"/>
          <w:sz w:val="28"/>
          <w:szCs w:val="28"/>
        </w:rPr>
        <w:t>四、场地及设施设备</w:t>
      </w:r>
      <w:bookmarkEnd w:id="9"/>
      <w:bookmarkEnd w:id="10"/>
    </w:p>
    <w:p>
      <w:pPr>
        <w:pStyle w:val="3"/>
        <w:spacing w:line="360" w:lineRule="auto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bookmarkStart w:id="11" w:name="_Toc47862199"/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（一）赛场布局要求</w:t>
      </w:r>
      <w:bookmarkEnd w:id="11"/>
    </w:p>
    <w:p>
      <w:pPr>
        <w:spacing w:line="360" w:lineRule="auto"/>
        <w:ind w:firstLine="480" w:firstLineChars="200"/>
        <w:jc w:val="both"/>
      </w:pPr>
      <w:r>
        <w:rPr>
          <w:rFonts w:hint="eastAsia" w:ascii="仿宋" w:hAnsi="仿宋" w:eastAsia="仿宋"/>
          <w:kern w:val="0"/>
          <w:sz w:val="24"/>
          <w:szCs w:val="24"/>
        </w:rPr>
        <w:t>场地布置、安全等方面完全达到竞赛相关要求，主要包含了竞赛工位、专家休息室、选手休息室、教练休息室等区域，工位配备有比赛所需的设施设备。</w:t>
      </w:r>
    </w:p>
    <w:p>
      <w:pPr>
        <w:pStyle w:val="3"/>
        <w:spacing w:line="360" w:lineRule="auto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bookmarkStart w:id="12" w:name="_Toc47862192"/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（二）竞赛设备规格型号</w:t>
      </w:r>
      <w:bookmarkEnd w:id="12"/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ascii="仿宋" w:hAnsi="仿宋" w:eastAsia="仿宋"/>
          <w:kern w:val="0"/>
          <w:sz w:val="24"/>
          <w:szCs w:val="24"/>
        </w:rPr>
        <w:t>竞赛设备</w:t>
      </w:r>
      <w:r>
        <w:rPr>
          <w:rFonts w:hint="eastAsia" w:ascii="仿宋" w:hAnsi="仿宋" w:eastAsia="仿宋"/>
          <w:kern w:val="0"/>
          <w:sz w:val="24"/>
          <w:szCs w:val="24"/>
        </w:rPr>
        <w:t>共有12台立</w:t>
      </w:r>
      <w:r>
        <w:rPr>
          <w:rFonts w:ascii="仿宋" w:hAnsi="仿宋" w:eastAsia="仿宋"/>
          <w:kern w:val="0"/>
          <w:sz w:val="24"/>
          <w:szCs w:val="24"/>
        </w:rPr>
        <w:t>式数控铣床</w:t>
      </w:r>
      <w:r>
        <w:rPr>
          <w:rFonts w:hint="eastAsia" w:ascii="仿宋" w:hAnsi="仿宋" w:eastAsia="仿宋"/>
          <w:kern w:val="0"/>
          <w:sz w:val="24"/>
          <w:szCs w:val="24"/>
        </w:rPr>
        <w:t>。</w:t>
      </w:r>
    </w:p>
    <w:p>
      <w:pPr>
        <w:widowControl/>
        <w:spacing w:line="240" w:lineRule="auto"/>
        <w:ind w:firstLine="0" w:firstLineChars="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br w:type="page"/>
      </w:r>
      <w:bookmarkStart w:id="21" w:name="_GoBack"/>
      <w:bookmarkEnd w:id="21"/>
    </w:p>
    <w:p>
      <w:pPr>
        <w:pStyle w:val="4"/>
        <w:spacing w:line="360" w:lineRule="auto"/>
        <w:ind w:firstLine="480" w:firstLineChars="2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1、机床型号及控制系统如下：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056"/>
        <w:gridCol w:w="1056"/>
        <w:gridCol w:w="2022"/>
        <w:gridCol w:w="729"/>
        <w:gridCol w:w="1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0" w:type="auto"/>
            <w:vAlign w:val="center"/>
          </w:tcPr>
          <w:p>
            <w:pPr>
              <w:ind w:firstLine="0" w:firstLineChars="0"/>
              <w:jc w:val="center"/>
              <w:rPr>
                <w:rFonts w:asciiTheme="minorEastAsia" w:hAnsiTheme="minorEastAsia"/>
                <w:sz w:val="21"/>
              </w:rPr>
            </w:pPr>
            <w:r>
              <w:rPr>
                <w:rFonts w:hint="eastAsia" w:asciiTheme="minorEastAsia" w:hAnsiTheme="minorEastAsia"/>
                <w:sz w:val="21"/>
              </w:rPr>
              <w:t>机床名称</w:t>
            </w:r>
          </w:p>
        </w:tc>
        <w:tc>
          <w:tcPr>
            <w:tcW w:w="0" w:type="auto"/>
            <w:vAlign w:val="center"/>
          </w:tcPr>
          <w:p>
            <w:pPr>
              <w:ind w:firstLine="0" w:firstLineChars="0"/>
              <w:jc w:val="center"/>
              <w:rPr>
                <w:rFonts w:asciiTheme="minorEastAsia" w:hAnsiTheme="minorEastAsia"/>
                <w:sz w:val="21"/>
              </w:rPr>
            </w:pPr>
            <w:r>
              <w:rPr>
                <w:rFonts w:hint="eastAsia" w:asciiTheme="minorEastAsia" w:hAnsiTheme="minorEastAsia"/>
                <w:sz w:val="21"/>
              </w:rPr>
              <w:t>机床型号</w:t>
            </w:r>
          </w:p>
        </w:tc>
        <w:tc>
          <w:tcPr>
            <w:tcW w:w="0" w:type="auto"/>
            <w:vAlign w:val="center"/>
          </w:tcPr>
          <w:p>
            <w:pPr>
              <w:ind w:firstLine="0" w:firstLineChars="0"/>
              <w:jc w:val="center"/>
              <w:rPr>
                <w:rFonts w:asciiTheme="minorEastAsia" w:hAnsiTheme="minorEastAsia"/>
                <w:sz w:val="21"/>
              </w:rPr>
            </w:pPr>
            <w:r>
              <w:rPr>
                <w:rFonts w:hint="eastAsia" w:asciiTheme="minorEastAsia" w:hAnsiTheme="minorEastAsia"/>
                <w:sz w:val="21"/>
              </w:rPr>
              <w:t>机床厂家</w:t>
            </w:r>
          </w:p>
        </w:tc>
        <w:tc>
          <w:tcPr>
            <w:tcW w:w="2022" w:type="dxa"/>
            <w:vAlign w:val="center"/>
          </w:tcPr>
          <w:p>
            <w:pPr>
              <w:ind w:firstLine="0" w:firstLineChars="0"/>
              <w:jc w:val="center"/>
              <w:rPr>
                <w:rFonts w:asciiTheme="minorEastAsia" w:hAnsiTheme="minorEastAsia"/>
                <w:sz w:val="21"/>
              </w:rPr>
            </w:pPr>
            <w:r>
              <w:rPr>
                <w:rFonts w:hint="eastAsia" w:asciiTheme="minorEastAsia" w:hAnsiTheme="minorEastAsia"/>
                <w:sz w:val="21"/>
              </w:rPr>
              <w:t>机床系统</w:t>
            </w:r>
          </w:p>
        </w:tc>
        <w:tc>
          <w:tcPr>
            <w:tcW w:w="729" w:type="dxa"/>
            <w:vAlign w:val="center"/>
          </w:tcPr>
          <w:p>
            <w:pPr>
              <w:ind w:firstLine="0" w:firstLineChars="0"/>
              <w:jc w:val="center"/>
              <w:rPr>
                <w:rFonts w:asciiTheme="minorEastAsia" w:hAnsiTheme="minorEastAsia"/>
                <w:sz w:val="21"/>
              </w:rPr>
            </w:pPr>
            <w:r>
              <w:rPr>
                <w:rFonts w:hint="eastAsia" w:asciiTheme="minorEastAsia" w:hAnsiTheme="minorEastAsia"/>
                <w:sz w:val="21"/>
              </w:rPr>
              <w:t>台数</w:t>
            </w:r>
          </w:p>
        </w:tc>
        <w:tc>
          <w:tcPr>
            <w:tcW w:w="1683" w:type="dxa"/>
            <w:vAlign w:val="center"/>
          </w:tcPr>
          <w:p>
            <w:pPr>
              <w:ind w:firstLine="0" w:firstLineChars="0"/>
              <w:jc w:val="center"/>
              <w:rPr>
                <w:rFonts w:asciiTheme="minorEastAsia" w:hAnsiTheme="minorEastAsia"/>
                <w:sz w:val="21"/>
              </w:rPr>
            </w:pPr>
            <w:r>
              <w:rPr>
                <w:rFonts w:hint="eastAsia" w:asciiTheme="minorEastAsia" w:hAnsiTheme="minorEastAsia"/>
                <w:sz w:val="21"/>
              </w:rPr>
              <w:t>比赛地点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三轴数控铣床</w:t>
            </w:r>
          </w:p>
          <w:p>
            <w:pPr>
              <w:ind w:firstLine="0" w:firstLineChars="0"/>
              <w:rPr>
                <w:rFonts w:ascii="仿宋_GB2312" w:eastAsia="仿宋_GB2312" w:hAnsiTheme="minorEastAsia"/>
                <w:sz w:val="21"/>
              </w:rPr>
            </w:pPr>
          </w:p>
        </w:tc>
        <w:tc>
          <w:tcPr>
            <w:tcW w:w="0" w:type="auto"/>
            <w:vAlign w:val="center"/>
          </w:tcPr>
          <w:p>
            <w:pPr>
              <w:ind w:firstLine="0" w:firstLineChars="0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VMC600</w:t>
            </w:r>
          </w:p>
        </w:tc>
        <w:tc>
          <w:tcPr>
            <w:tcW w:w="0" w:type="auto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南通科技</w:t>
            </w:r>
          </w:p>
        </w:tc>
        <w:tc>
          <w:tcPr>
            <w:tcW w:w="2022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发那科0iMate-MD</w:t>
            </w:r>
          </w:p>
        </w:tc>
        <w:tc>
          <w:tcPr>
            <w:tcW w:w="729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ind w:firstLine="0" w:firstLineChars="0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淮安技师学院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</w:p>
        </w:tc>
        <w:tc>
          <w:tcPr>
            <w:tcW w:w="0" w:type="auto"/>
            <w:vAlign w:val="center"/>
          </w:tcPr>
          <w:p>
            <w:pPr>
              <w:ind w:firstLine="0" w:firstLineChars="0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VMC650</w:t>
            </w:r>
          </w:p>
        </w:tc>
        <w:tc>
          <w:tcPr>
            <w:tcW w:w="0" w:type="auto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宝鸡机床</w:t>
            </w:r>
          </w:p>
        </w:tc>
        <w:tc>
          <w:tcPr>
            <w:tcW w:w="2022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发那科0iMate-MD</w:t>
            </w:r>
          </w:p>
        </w:tc>
        <w:tc>
          <w:tcPr>
            <w:tcW w:w="729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1</w:t>
            </w:r>
          </w:p>
        </w:tc>
        <w:tc>
          <w:tcPr>
            <w:tcW w:w="1683" w:type="dxa"/>
            <w:vMerge w:val="continue"/>
            <w:vAlign w:val="center"/>
          </w:tcPr>
          <w:p>
            <w:pPr>
              <w:ind w:firstLine="0" w:firstLineChars="0"/>
              <w:rPr>
                <w:rFonts w:ascii="仿宋_GB2312" w:eastAsia="仿宋_GB2312" w:hAnsiTheme="minor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</w:p>
        </w:tc>
        <w:tc>
          <w:tcPr>
            <w:tcW w:w="0" w:type="auto"/>
            <w:vAlign w:val="center"/>
          </w:tcPr>
          <w:p>
            <w:pPr>
              <w:ind w:firstLine="0" w:firstLineChars="0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XKN714</w:t>
            </w:r>
          </w:p>
        </w:tc>
        <w:tc>
          <w:tcPr>
            <w:tcW w:w="0" w:type="auto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南京机床</w:t>
            </w:r>
          </w:p>
        </w:tc>
        <w:tc>
          <w:tcPr>
            <w:tcW w:w="2022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发那科0iMate-MC</w:t>
            </w:r>
          </w:p>
        </w:tc>
        <w:tc>
          <w:tcPr>
            <w:tcW w:w="729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1</w:t>
            </w:r>
          </w:p>
        </w:tc>
        <w:tc>
          <w:tcPr>
            <w:tcW w:w="1683" w:type="dxa"/>
            <w:vMerge w:val="continue"/>
            <w:vAlign w:val="center"/>
          </w:tcPr>
          <w:p>
            <w:pPr>
              <w:ind w:firstLine="0" w:firstLineChars="0"/>
              <w:rPr>
                <w:rFonts w:ascii="仿宋_GB2312" w:eastAsia="仿宋_GB2312" w:hAnsiTheme="minor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0" w:type="auto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三轴数控铣床</w:t>
            </w:r>
          </w:p>
        </w:tc>
        <w:tc>
          <w:tcPr>
            <w:tcW w:w="0" w:type="auto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VMC600</w:t>
            </w:r>
          </w:p>
        </w:tc>
        <w:tc>
          <w:tcPr>
            <w:tcW w:w="0" w:type="auto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南通科技</w:t>
            </w:r>
          </w:p>
        </w:tc>
        <w:tc>
          <w:tcPr>
            <w:tcW w:w="2022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发那科0iMate-MD</w:t>
            </w:r>
          </w:p>
        </w:tc>
        <w:tc>
          <w:tcPr>
            <w:tcW w:w="729" w:type="dxa"/>
            <w:vAlign w:val="center"/>
          </w:tcPr>
          <w:p>
            <w:pPr>
              <w:ind w:firstLine="0" w:firstLineChars="0"/>
              <w:jc w:val="center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6</w:t>
            </w:r>
          </w:p>
        </w:tc>
        <w:tc>
          <w:tcPr>
            <w:tcW w:w="1683" w:type="dxa"/>
            <w:vAlign w:val="center"/>
          </w:tcPr>
          <w:p>
            <w:pPr>
              <w:ind w:firstLine="0" w:firstLineChars="0"/>
              <w:rPr>
                <w:rFonts w:ascii="仿宋_GB2312" w:eastAsia="仿宋_GB2312" w:hAnsiTheme="minorEastAsia"/>
                <w:sz w:val="21"/>
              </w:rPr>
            </w:pPr>
            <w:r>
              <w:rPr>
                <w:rFonts w:hint="eastAsia" w:ascii="仿宋_GB2312" w:eastAsia="仿宋_GB2312" w:hAnsiTheme="minorEastAsia"/>
                <w:sz w:val="21"/>
              </w:rPr>
              <w:t>淮安市高级职业技术学校</w:t>
            </w:r>
          </w:p>
        </w:tc>
      </w:tr>
    </w:tbl>
    <w:p>
      <w:pPr>
        <w:pStyle w:val="4"/>
        <w:spacing w:line="360" w:lineRule="auto"/>
        <w:ind w:firstLine="480" w:firstLineChars="2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</w:p>
    <w:p>
      <w:pPr>
        <w:pStyle w:val="4"/>
        <w:spacing w:line="360" w:lineRule="auto"/>
        <w:ind w:firstLine="480" w:firstLineChars="2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2、赛位配置用品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装刀座</w:t>
      </w:r>
      <w:r>
        <w:rPr>
          <w:rFonts w:ascii="仿宋" w:hAnsi="仿宋" w:eastAsia="仿宋"/>
          <w:kern w:val="0"/>
          <w:sz w:val="24"/>
          <w:szCs w:val="24"/>
        </w:rPr>
        <w:t>1</w:t>
      </w:r>
      <w:r>
        <w:rPr>
          <w:rFonts w:hint="eastAsia" w:ascii="仿宋" w:hAnsi="仿宋" w:eastAsia="仿宋"/>
          <w:kern w:val="0"/>
          <w:sz w:val="24"/>
          <w:szCs w:val="24"/>
        </w:rPr>
        <w:t>个</w:t>
      </w:r>
      <w:r>
        <w:rPr>
          <w:rFonts w:ascii="仿宋" w:hAnsi="仿宋" w:eastAsia="仿宋"/>
          <w:kern w:val="0"/>
          <w:sz w:val="24"/>
          <w:szCs w:val="24"/>
        </w:rPr>
        <w:t>/2赛位</w:t>
      </w:r>
      <w:r>
        <w:rPr>
          <w:rFonts w:hint="eastAsia" w:ascii="仿宋" w:hAnsi="仿宋" w:eastAsia="仿宋"/>
          <w:kern w:val="0"/>
          <w:sz w:val="24"/>
          <w:szCs w:val="24"/>
        </w:rPr>
        <w:t>，工</w:t>
      </w:r>
      <w:r>
        <w:rPr>
          <w:rFonts w:ascii="仿宋" w:hAnsi="仿宋" w:eastAsia="仿宋"/>
          <w:kern w:val="0"/>
          <w:sz w:val="24"/>
          <w:szCs w:val="24"/>
        </w:rPr>
        <w:t>作台1张/赛位，电脑及电脑桌1</w:t>
      </w:r>
      <w:r>
        <w:rPr>
          <w:rFonts w:hint="eastAsia" w:ascii="仿宋" w:hAnsi="仿宋" w:eastAsia="仿宋"/>
          <w:kern w:val="0"/>
          <w:sz w:val="24"/>
          <w:szCs w:val="24"/>
        </w:rPr>
        <w:t>组</w:t>
      </w:r>
      <w:r>
        <w:rPr>
          <w:rFonts w:ascii="仿宋" w:hAnsi="仿宋" w:eastAsia="仿宋"/>
          <w:kern w:val="0"/>
          <w:sz w:val="24"/>
          <w:szCs w:val="24"/>
        </w:rPr>
        <w:t>/</w:t>
      </w:r>
      <w:r>
        <w:rPr>
          <w:rFonts w:hint="eastAsia" w:ascii="仿宋" w:hAnsi="仿宋" w:eastAsia="仿宋"/>
          <w:kern w:val="0"/>
          <w:sz w:val="24"/>
          <w:szCs w:val="24"/>
        </w:rPr>
        <w:t>赛位。</w:t>
      </w:r>
    </w:p>
    <w:p>
      <w:pPr>
        <w:pStyle w:val="4"/>
        <w:spacing w:line="360" w:lineRule="auto"/>
        <w:ind w:firstLine="480" w:firstLineChars="200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3、夹具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平口钳每</w:t>
      </w:r>
      <w:r>
        <w:rPr>
          <w:rFonts w:ascii="仿宋" w:hAnsi="仿宋" w:eastAsia="仿宋"/>
          <w:kern w:val="0"/>
          <w:sz w:val="24"/>
          <w:szCs w:val="24"/>
        </w:rPr>
        <w:t>台机床一个</w:t>
      </w:r>
      <w:r>
        <w:rPr>
          <w:rFonts w:hint="eastAsia" w:ascii="仿宋" w:hAnsi="仿宋" w:eastAsia="仿宋"/>
          <w:kern w:val="0"/>
          <w:sz w:val="24"/>
          <w:szCs w:val="24"/>
        </w:rPr>
        <w:t>，钳口宽度不小于</w:t>
      </w:r>
      <w:r>
        <w:rPr>
          <w:rFonts w:ascii="仿宋" w:hAnsi="仿宋" w:eastAsia="仿宋"/>
          <w:kern w:val="0"/>
          <w:sz w:val="24"/>
          <w:szCs w:val="24"/>
        </w:rPr>
        <w:t>150mm</w:t>
      </w:r>
      <w:r>
        <w:rPr>
          <w:rFonts w:hint="eastAsia" w:ascii="仿宋" w:hAnsi="仿宋" w:eastAsia="仿宋"/>
          <w:kern w:val="0"/>
          <w:sz w:val="24"/>
          <w:szCs w:val="24"/>
        </w:rPr>
        <w:t>，允许选手自带平口钳，但找正与安装平口钳时间包括在加工时间段内。</w:t>
      </w:r>
    </w:p>
    <w:p>
      <w:pPr>
        <w:pStyle w:val="3"/>
        <w:spacing w:line="360" w:lineRule="auto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bookmarkStart w:id="13" w:name="_Toc47862193"/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（三）计算机及软件</w:t>
      </w:r>
      <w:bookmarkEnd w:id="13"/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每个赛位提供个人计算机</w:t>
      </w:r>
      <w:r>
        <w:rPr>
          <w:rFonts w:ascii="仿宋" w:hAnsi="仿宋" w:eastAsia="仿宋"/>
          <w:kern w:val="0"/>
          <w:sz w:val="24"/>
          <w:szCs w:val="24"/>
        </w:rPr>
        <w:t>1</w:t>
      </w:r>
      <w:r>
        <w:rPr>
          <w:rFonts w:hint="eastAsia" w:ascii="仿宋" w:hAnsi="仿宋" w:eastAsia="仿宋"/>
          <w:kern w:val="0"/>
          <w:sz w:val="24"/>
          <w:szCs w:val="24"/>
        </w:rPr>
        <w:t>台，并由大赛组委会技术部组织统一安装以下软件：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CAXA2013制造工程师、AUTOCAD2007。赛场提供所有后处理文件和通讯功能，并在赛前进行试切验证。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选手可以自带其他正版软件，</w:t>
      </w:r>
      <w:r>
        <w:rPr>
          <w:rFonts w:ascii="仿宋" w:hAnsi="仿宋" w:eastAsia="仿宋"/>
          <w:kern w:val="0"/>
          <w:sz w:val="24"/>
          <w:szCs w:val="24"/>
        </w:rPr>
        <w:t>报名时必须</w:t>
      </w:r>
      <w:r>
        <w:rPr>
          <w:rFonts w:hint="eastAsia" w:ascii="仿宋" w:hAnsi="仿宋" w:eastAsia="仿宋"/>
          <w:kern w:val="0"/>
          <w:sz w:val="24"/>
          <w:szCs w:val="24"/>
        </w:rPr>
        <w:t>提交</w:t>
      </w:r>
      <w:r>
        <w:rPr>
          <w:rFonts w:ascii="仿宋" w:hAnsi="仿宋" w:eastAsia="仿宋"/>
          <w:kern w:val="0"/>
          <w:sz w:val="24"/>
          <w:szCs w:val="24"/>
        </w:rPr>
        <w:t>申请，比赛前一天在</w:t>
      </w:r>
      <w:r>
        <w:rPr>
          <w:rFonts w:hint="eastAsia" w:ascii="仿宋" w:hAnsi="仿宋" w:eastAsia="仿宋"/>
          <w:kern w:val="0"/>
          <w:sz w:val="24"/>
          <w:szCs w:val="24"/>
        </w:rPr>
        <w:t>组委会</w:t>
      </w:r>
      <w:r>
        <w:rPr>
          <w:rFonts w:ascii="仿宋" w:hAnsi="仿宋" w:eastAsia="仿宋"/>
          <w:kern w:val="0"/>
          <w:sz w:val="24"/>
          <w:szCs w:val="24"/>
        </w:rPr>
        <w:t>裁判监督下自行安装在备用电脑内（</w:t>
      </w:r>
      <w:r>
        <w:rPr>
          <w:rFonts w:hint="eastAsia" w:ascii="仿宋" w:hAnsi="仿宋" w:eastAsia="仿宋"/>
          <w:kern w:val="0"/>
          <w:sz w:val="24"/>
          <w:szCs w:val="24"/>
        </w:rPr>
        <w:t>除软件外，不得装入其他任何信息和资料，否则取消比赛资格）</w:t>
      </w:r>
      <w:r>
        <w:rPr>
          <w:rFonts w:ascii="仿宋" w:hAnsi="仿宋" w:eastAsia="仿宋"/>
          <w:kern w:val="0"/>
          <w:sz w:val="24"/>
          <w:szCs w:val="24"/>
        </w:rPr>
        <w:t>，比赛过程中不提供技术支持</w:t>
      </w:r>
      <w:r>
        <w:rPr>
          <w:rFonts w:hint="eastAsia" w:ascii="仿宋" w:hAnsi="仿宋" w:eastAsia="仿宋"/>
          <w:kern w:val="0"/>
          <w:sz w:val="24"/>
          <w:szCs w:val="24"/>
        </w:rPr>
        <w:t>。</w:t>
      </w:r>
    </w:p>
    <w:p>
      <w:pPr>
        <w:pStyle w:val="3"/>
        <w:spacing w:line="360" w:lineRule="auto"/>
        <w:jc w:val="both"/>
        <w:rPr>
          <w:rFonts w:ascii="楷体" w:hAnsi="楷体" w:eastAsia="楷体" w:cs="楷体"/>
          <w:b w:val="0"/>
          <w:bCs w:val="0"/>
          <w:sz w:val="24"/>
          <w:szCs w:val="24"/>
        </w:rPr>
      </w:pPr>
      <w:bookmarkStart w:id="14" w:name="_Toc47862195"/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（四）选手自备物品</w:t>
      </w:r>
      <w:bookmarkEnd w:id="14"/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竞赛使用的刀柄、刀具、量具以及工具全部由选手自带，平口钳赛场提供也允许自带。本技术文件中提供刀具、量具、工具推荐清单，选手实际携带的工、量、刀具</w:t>
      </w:r>
      <w:r>
        <w:rPr>
          <w:rFonts w:ascii="仿宋" w:hAnsi="仿宋" w:eastAsia="仿宋"/>
          <w:kern w:val="0"/>
          <w:sz w:val="24"/>
          <w:szCs w:val="24"/>
        </w:rPr>
        <w:t>的</w:t>
      </w:r>
      <w:r>
        <w:rPr>
          <w:rFonts w:hint="eastAsia" w:ascii="仿宋" w:hAnsi="仿宋" w:eastAsia="仿宋"/>
          <w:kern w:val="0"/>
          <w:sz w:val="24"/>
          <w:szCs w:val="24"/>
        </w:rPr>
        <w:t>类型、规格及数量不予限制；但二类工装、角度虎钳、毛坯、非法量具、含存储介质的电子设备及危险物品等不得携带。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根据命题情况，如刀具、工具、量具、附件等的品种和数量需要变更，由大赛组委会技术部及时发出通告。</w:t>
      </w:r>
    </w:p>
    <w:p>
      <w:pPr>
        <w:spacing w:line="360" w:lineRule="auto"/>
        <w:ind w:firstLine="480" w:firstLineChars="200"/>
        <w:jc w:val="both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本项目推荐自带刀具、工具清单见表</w:t>
      </w:r>
      <w:r>
        <w:rPr>
          <w:rFonts w:ascii="仿宋" w:hAnsi="仿宋" w:eastAsia="仿宋"/>
          <w:kern w:val="0"/>
          <w:sz w:val="24"/>
          <w:szCs w:val="24"/>
        </w:rPr>
        <w:t>1</w:t>
      </w:r>
      <w:r>
        <w:rPr>
          <w:rFonts w:hint="eastAsia" w:ascii="仿宋" w:hAnsi="仿宋" w:eastAsia="仿宋"/>
          <w:kern w:val="0"/>
          <w:sz w:val="24"/>
          <w:szCs w:val="24"/>
        </w:rPr>
        <w:t>，推荐自带量具清单见表</w:t>
      </w:r>
      <w:r>
        <w:rPr>
          <w:rFonts w:ascii="仿宋" w:hAnsi="仿宋" w:eastAsia="仿宋"/>
          <w:kern w:val="0"/>
          <w:sz w:val="24"/>
          <w:szCs w:val="24"/>
        </w:rPr>
        <w:t>2</w:t>
      </w:r>
      <w:r>
        <w:rPr>
          <w:rFonts w:hint="eastAsia" w:ascii="仿宋" w:hAnsi="仿宋" w:eastAsia="仿宋"/>
          <w:kern w:val="0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center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表1：推荐刀具、工具清单</w:t>
      </w:r>
    </w:p>
    <w:tbl>
      <w:tblPr>
        <w:tblStyle w:val="13"/>
        <w:tblpPr w:leftFromText="180" w:rightFromText="180" w:vertAnchor="text" w:horzAnchor="margin" w:tblpX="108" w:tblpY="8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701"/>
        <w:gridCol w:w="3652"/>
        <w:gridCol w:w="567"/>
        <w:gridCol w:w="70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型号/规格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精度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面铣刀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Φ50、Φ63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直柄铣刀刀柄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锥柄钻头刀柄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钻夹头刀柄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配钻</w:t>
            </w:r>
          </w:p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夹头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弹簧夹头刀柄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Φ6～Φ20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微调精镗刀柄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强力刀柄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攻牙刀柄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钻头刀柄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弹簧卡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套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Φ6～Φ20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机用丝锥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M6、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M10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6H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麻花钻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Φ4.2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5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、7.8、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8.5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9.8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10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端铣刀</w:t>
            </w:r>
          </w:p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（粗精加工）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Φ6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8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10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球头铣刀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R2.5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3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4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机用铰刀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8、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H7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NC中心钻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10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×90°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倒角铣刀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Φ10×90°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螺纹铣刀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Φ20～Φ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螺纹铣刀刀片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P1.5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套装镗头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Φ8-Φ50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铣刀杆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Φ16/Φ20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等高垫铁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铜棒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活络板手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12寸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起子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一字、十字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若干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内六角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6、8、10、12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both"/>
        <w:rPr>
          <w:rFonts w:ascii="仿宋" w:hAnsi="仿宋" w:eastAsia="仿宋"/>
          <w:kern w:val="0"/>
          <w:sz w:val="24"/>
          <w:szCs w:val="24"/>
        </w:rPr>
      </w:pPr>
    </w:p>
    <w:p>
      <w:pPr>
        <w:widowControl/>
        <w:spacing w:line="240" w:lineRule="auto"/>
        <w:ind w:firstLine="0" w:firstLineChars="0"/>
        <w:jc w:val="center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表2：</w:t>
      </w:r>
      <w:r>
        <w:rPr>
          <w:rFonts w:ascii="仿宋" w:hAnsi="仿宋" w:eastAsia="仿宋"/>
          <w:kern w:val="0"/>
          <w:sz w:val="24"/>
          <w:szCs w:val="24"/>
        </w:rPr>
        <w:t>推荐量具清单</w:t>
      </w:r>
    </w:p>
    <w:tbl>
      <w:tblPr>
        <w:tblStyle w:val="13"/>
        <w:tblW w:w="8325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985"/>
        <w:gridCol w:w="2126"/>
        <w:gridCol w:w="1418"/>
        <w:gridCol w:w="992"/>
        <w:gridCol w:w="1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widowControl/>
              <w:ind w:firstLine="36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ind w:firstLine="36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6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型号/规格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6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精度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widowControl/>
              <w:ind w:firstLine="36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6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游标卡尺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0～150或0～200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深度游标卡尺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0～150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外径千分尺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～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25～50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50～75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75～100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100～125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125～150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公法线千分尺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25～50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50～75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75～100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5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内测千分尺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5～30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25～50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50～75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75～100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深度千分尺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0～100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7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内径百分表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10～18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18～35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8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万能量角器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0～320°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9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角尺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内径三爪千分尺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8～50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11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螺纹塞规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M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6H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M10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6H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M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27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×1.5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6H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螺纹环规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M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27</w:t>
            </w: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×1.5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6g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widowControl/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螺纹千分尺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25～50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restart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14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R 规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R1～R6.5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R7～R14.5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vMerge w:val="continue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985" w:type="dxa"/>
            <w:vMerge w:val="continue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R15～R25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15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光滑塞规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Φ10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H7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16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量规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1～100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塞尺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0.02～1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18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直尺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19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磁力表座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百分表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钟式/杠杆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0.01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寻边器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569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22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Z轴设定仪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ascii="仿宋" w:hAnsi="仿宋" w:eastAsia="仿宋" w:cs="Arial"/>
                <w:color w:val="000000"/>
                <w:kern w:val="0"/>
                <w:sz w:val="21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1"/>
              </w:rPr>
              <w:t>自定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>
            <w:pPr>
              <w:ind w:firstLine="31" w:firstLineChars="15"/>
              <w:jc w:val="center"/>
              <w:rPr>
                <w:rFonts w:ascii="仿宋" w:hAnsi="仿宋" w:eastAsia="仿宋" w:cs="Arial"/>
                <w:color w:val="000000"/>
                <w:kern w:val="0"/>
                <w:sz w:val="21"/>
              </w:rPr>
            </w:pPr>
          </w:p>
        </w:tc>
      </w:tr>
    </w:tbl>
    <w:p>
      <w:pPr>
        <w:pStyle w:val="2"/>
        <w:spacing w:line="360" w:lineRule="auto"/>
        <w:rPr>
          <w:rFonts w:ascii="黑体" w:hAnsi="黑体" w:cs="黑体"/>
          <w:b w:val="0"/>
          <w:sz w:val="28"/>
          <w:szCs w:val="28"/>
        </w:rPr>
      </w:pPr>
      <w:bookmarkStart w:id="15" w:name="_Toc913"/>
      <w:r>
        <w:rPr>
          <w:rFonts w:hint="eastAsia" w:ascii="黑体" w:hAnsi="黑体" w:cs="黑体"/>
          <w:b w:val="0"/>
          <w:sz w:val="28"/>
          <w:szCs w:val="28"/>
        </w:rPr>
        <w:t>五、赛事纪律</w:t>
      </w:r>
      <w:bookmarkEnd w:id="15"/>
    </w:p>
    <w:p>
      <w:pPr>
        <w:spacing w:line="360" w:lineRule="auto"/>
        <w:ind w:firstLine="480" w:firstLineChars="20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赛务人员必须统一佩戴由大赛组委会发放的胸卡，着装整齐。赛场设有监督员、安全巡视和赛场配备的工作人员。</w:t>
      </w:r>
    </w:p>
    <w:p>
      <w:pPr>
        <w:spacing w:line="360" w:lineRule="auto"/>
        <w:ind w:firstLine="480" w:firstLineChars="20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竞赛规则如下：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1、选手通过抽签决定比赛</w:t>
      </w:r>
      <w:r>
        <w:rPr>
          <w:rFonts w:ascii="仿宋" w:hAnsi="仿宋" w:eastAsia="仿宋"/>
          <w:kern w:val="0"/>
          <w:sz w:val="24"/>
          <w:szCs w:val="24"/>
        </w:rPr>
        <w:t>赛</w:t>
      </w:r>
      <w:r>
        <w:rPr>
          <w:rFonts w:hint="eastAsia" w:ascii="仿宋" w:hAnsi="仿宋" w:eastAsia="仿宋"/>
          <w:kern w:val="0"/>
          <w:sz w:val="24"/>
          <w:szCs w:val="24"/>
        </w:rPr>
        <w:t>位；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2、选手按照技术文件和赛题要求在规定的时间内独立完成比赛；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3、选手在熟悉场地和比赛期间不得使用手机、照相机、录像机等设备；不得携带和使用自带的任何存储设备；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4、所有选手及赛场统一封闭，竞赛现场不安排观摩，不服从赛场安排的将取消参赛资格；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5、正式比赛期间，裁判发现选手有不安全的操作应及时制止；此外不得主动与选手交流，对选手反映的问题及时处理，判断不准应及时向现场裁判长或裁判长汇报；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6、</w:t>
      </w:r>
      <w:r>
        <w:rPr>
          <w:rFonts w:ascii="仿宋" w:hAnsi="仿宋" w:eastAsia="仿宋"/>
          <w:kern w:val="0"/>
          <w:sz w:val="24"/>
          <w:szCs w:val="24"/>
        </w:rPr>
        <w:t>比</w:t>
      </w:r>
      <w:r>
        <w:rPr>
          <w:rFonts w:hint="eastAsia" w:ascii="仿宋" w:hAnsi="仿宋" w:eastAsia="仿宋"/>
          <w:kern w:val="0"/>
          <w:sz w:val="24"/>
          <w:szCs w:val="24"/>
        </w:rPr>
        <w:t>赛过程中，裁判之间不得进行交流；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bCs/>
          <w:kern w:val="0"/>
          <w:sz w:val="24"/>
          <w:szCs w:val="24"/>
        </w:rPr>
        <w:t>7、比赛结束</w:t>
      </w:r>
      <w:r>
        <w:rPr>
          <w:rFonts w:hint="eastAsia" w:ascii="仿宋" w:hAnsi="仿宋" w:eastAsia="仿宋"/>
          <w:kern w:val="0"/>
          <w:sz w:val="24"/>
          <w:szCs w:val="24"/>
        </w:rPr>
        <w:t>铃声响起以后，选手应立即停止工作，并及时上交赛件离开赛场；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8、确因设备、电脑、软件等原因造成比赛中断，裁判应及时如实记录，经裁判长同意，可以补时，但补时不得超过中断的实际时间；如经检查后确系选手自身操作失误造成的比赛中断，不予补时。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9、选手对现场裁判判罚有异议时，可向裁判长提起申诉，由裁判长负责仲裁</w:t>
      </w:r>
      <w:r>
        <w:rPr>
          <w:rFonts w:ascii="仿宋" w:hAnsi="仿宋" w:eastAsia="仿宋"/>
          <w:kern w:val="0"/>
          <w:sz w:val="24"/>
          <w:szCs w:val="24"/>
        </w:rPr>
        <w:t>；</w:t>
      </w:r>
      <w:r>
        <w:rPr>
          <w:rFonts w:hint="eastAsia" w:ascii="仿宋" w:hAnsi="仿宋" w:eastAsia="仿宋"/>
          <w:kern w:val="0"/>
          <w:sz w:val="24"/>
          <w:szCs w:val="24"/>
        </w:rPr>
        <w:t>裁判长无法处理时，须报请大赛仲裁委员会裁决。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10、如发现现场裁判恶意扣分或干扰选手、言语误导等情况，一经查实立刻取消裁判员资格。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11、比赛结束后，选手应及时按照要求上交竞赛作品，并与收件裁判共同清点确认。</w:t>
      </w:r>
      <w:bookmarkStart w:id="16" w:name="_Toc47862201"/>
    </w:p>
    <w:p>
      <w:pPr>
        <w:pStyle w:val="18"/>
        <w:spacing w:line="360" w:lineRule="auto"/>
        <w:ind w:firstLine="0" w:firstLineChars="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六、赛事安全</w:t>
      </w:r>
      <w:bookmarkEnd w:id="16"/>
      <w:bookmarkStart w:id="17" w:name="_Toc47862202"/>
    </w:p>
    <w:p>
      <w:pPr>
        <w:pStyle w:val="18"/>
        <w:spacing w:line="360" w:lineRule="auto"/>
        <w:ind w:firstLine="240" w:firstLineChars="100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（一）选手防护装备</w:t>
      </w:r>
      <w:bookmarkEnd w:id="17"/>
    </w:p>
    <w:p>
      <w:pPr>
        <w:pStyle w:val="18"/>
        <w:spacing w:line="360" w:lineRule="auto"/>
        <w:ind w:firstLine="240" w:firstLineChars="10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参赛选手必须按照规定自备</w:t>
      </w:r>
      <w:r>
        <w:rPr>
          <w:rFonts w:ascii="楷体" w:hAnsi="楷体" w:eastAsia="楷体" w:cs="楷体"/>
          <w:sz w:val="24"/>
          <w:szCs w:val="24"/>
        </w:rPr>
        <w:t>及</w:t>
      </w:r>
      <w:r>
        <w:rPr>
          <w:rFonts w:hint="eastAsia" w:ascii="楷体" w:hAnsi="楷体" w:eastAsia="楷体" w:cs="楷体"/>
          <w:sz w:val="24"/>
          <w:szCs w:val="24"/>
        </w:rPr>
        <w:t>穿戴防护装备</w:t>
      </w:r>
    </w:p>
    <w:tbl>
      <w:tblPr>
        <w:tblStyle w:val="14"/>
        <w:tblW w:w="8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835"/>
        <w:gridCol w:w="4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526" w:type="dxa"/>
            <w:vAlign w:val="center"/>
          </w:tcPr>
          <w:p>
            <w:pPr>
              <w:pStyle w:val="22"/>
              <w:jc w:val="center"/>
              <w:rPr>
                <w:rFonts w:ascii="仿宋" w:hAnsi="仿宋" w:eastAsia="仿宋" w:cs="CIDFont+F2"/>
                <w:bCs/>
                <w:color w:val="auto"/>
              </w:rPr>
            </w:pPr>
            <w:r>
              <w:rPr>
                <w:rFonts w:hint="eastAsia" w:ascii="仿宋" w:hAnsi="仿宋" w:eastAsia="仿宋" w:cs="CIDFont+F2"/>
                <w:bCs/>
                <w:color w:val="auto"/>
              </w:rPr>
              <w:t>防护项目</w:t>
            </w:r>
          </w:p>
        </w:tc>
        <w:tc>
          <w:tcPr>
            <w:tcW w:w="2835" w:type="dxa"/>
            <w:vAlign w:val="center"/>
          </w:tcPr>
          <w:p>
            <w:pPr>
              <w:pStyle w:val="22"/>
              <w:jc w:val="center"/>
              <w:rPr>
                <w:rFonts w:ascii="仿宋" w:hAnsi="仿宋" w:eastAsia="仿宋" w:cs="CIDFont+F2"/>
                <w:bCs/>
                <w:color w:val="auto"/>
              </w:rPr>
            </w:pPr>
            <w:r>
              <w:rPr>
                <w:rFonts w:hint="eastAsia" w:ascii="仿宋" w:hAnsi="仿宋" w:eastAsia="仿宋" w:cs="CIDFont+F2"/>
                <w:bCs/>
                <w:color w:val="auto"/>
              </w:rPr>
              <w:t>图示（供参考）</w:t>
            </w:r>
          </w:p>
        </w:tc>
        <w:tc>
          <w:tcPr>
            <w:tcW w:w="4086" w:type="dxa"/>
            <w:vAlign w:val="center"/>
          </w:tcPr>
          <w:p>
            <w:pPr>
              <w:pStyle w:val="22"/>
              <w:jc w:val="center"/>
              <w:rPr>
                <w:rFonts w:ascii="仿宋" w:hAnsi="仿宋" w:eastAsia="仿宋" w:cs="CIDFont+F2"/>
                <w:bCs/>
                <w:color w:val="auto"/>
              </w:rPr>
            </w:pPr>
            <w:r>
              <w:rPr>
                <w:rFonts w:hint="eastAsia" w:ascii="仿宋" w:hAnsi="仿宋" w:eastAsia="仿宋" w:cs="CIDFont+F2"/>
                <w:bCs/>
                <w:color w:val="auto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526" w:type="dxa"/>
            <w:vAlign w:val="center"/>
          </w:tcPr>
          <w:p>
            <w:pPr>
              <w:pStyle w:val="22"/>
              <w:jc w:val="both"/>
              <w:rPr>
                <w:rFonts w:ascii="仿宋" w:hAnsi="仿宋" w:eastAsia="仿宋"/>
                <w:bCs/>
                <w:color w:val="auto"/>
              </w:rPr>
            </w:pPr>
            <w:r>
              <w:rPr>
                <w:rFonts w:hint="eastAsia" w:ascii="仿宋" w:hAnsi="仿宋" w:eastAsia="仿宋"/>
                <w:bCs/>
                <w:color w:val="auto"/>
              </w:rPr>
              <w:t>眼睛的防护</w:t>
            </w:r>
          </w:p>
        </w:tc>
        <w:tc>
          <w:tcPr>
            <w:tcW w:w="2835" w:type="dxa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仿宋" w:hAnsi="仿宋" w:eastAsia="仿宋" w:cs="CIDFont+F2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drawing>
                <wp:inline distT="0" distB="0" distL="0" distR="0">
                  <wp:extent cx="1104900" cy="657225"/>
                  <wp:effectExtent l="0" t="0" r="0" b="952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  <w:vAlign w:val="center"/>
          </w:tcPr>
          <w:p>
            <w:pPr>
              <w:pStyle w:val="22"/>
              <w:rPr>
                <w:rFonts w:ascii="仿宋" w:hAnsi="仿宋" w:eastAsia="仿宋"/>
                <w:bCs/>
                <w:color w:val="auto"/>
              </w:rPr>
            </w:pPr>
            <w:r>
              <w:rPr>
                <w:rFonts w:ascii="仿宋" w:hAnsi="仿宋" w:eastAsia="仿宋" w:cs="仿宋"/>
                <w:bCs/>
                <w:color w:val="auto"/>
              </w:rPr>
              <w:t>1</w:t>
            </w:r>
            <w:r>
              <w:rPr>
                <w:rFonts w:hint="eastAsia" w:ascii="仿宋" w:hAnsi="仿宋" w:eastAsia="仿宋" w:cs="仿宋"/>
                <w:bCs/>
                <w:color w:val="auto"/>
              </w:rPr>
              <w:t>、</w:t>
            </w:r>
            <w:r>
              <w:rPr>
                <w:rFonts w:hint="eastAsia" w:ascii="仿宋" w:hAnsi="仿宋" w:eastAsia="仿宋"/>
                <w:bCs/>
                <w:color w:val="auto"/>
              </w:rPr>
              <w:t>防溅入</w:t>
            </w:r>
          </w:p>
          <w:p>
            <w:pPr>
              <w:pStyle w:val="22"/>
              <w:rPr>
                <w:rFonts w:ascii="仿宋" w:hAnsi="仿宋" w:eastAsia="仿宋" w:cs="仿宋"/>
                <w:bCs/>
                <w:dstrike/>
                <w:color w:val="auto"/>
              </w:rPr>
            </w:pPr>
            <w:r>
              <w:rPr>
                <w:rFonts w:ascii="仿宋" w:hAnsi="仿宋" w:eastAsia="仿宋" w:cs="仿宋"/>
                <w:bCs/>
                <w:color w:val="auto"/>
              </w:rPr>
              <w:t>2</w:t>
            </w:r>
            <w:r>
              <w:rPr>
                <w:rFonts w:hint="eastAsia" w:ascii="仿宋" w:hAnsi="仿宋" w:eastAsia="仿宋" w:cs="仿宋"/>
                <w:bCs/>
                <w:color w:val="auto"/>
              </w:rPr>
              <w:t>、</w:t>
            </w:r>
            <w:r>
              <w:rPr>
                <w:rFonts w:hint="eastAsia" w:ascii="仿宋" w:hAnsi="仿宋" w:eastAsia="仿宋"/>
                <w:bCs/>
                <w:color w:val="auto"/>
              </w:rPr>
              <w:t>带近视镜也必须佩戴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526" w:type="dxa"/>
            <w:vAlign w:val="center"/>
          </w:tcPr>
          <w:p>
            <w:pPr>
              <w:pStyle w:val="22"/>
              <w:jc w:val="both"/>
              <w:rPr>
                <w:rFonts w:ascii="仿宋" w:hAnsi="仿宋" w:eastAsia="仿宋"/>
                <w:bCs/>
                <w:color w:val="auto"/>
              </w:rPr>
            </w:pPr>
            <w:r>
              <w:rPr>
                <w:rFonts w:hint="eastAsia" w:ascii="仿宋" w:hAnsi="仿宋" w:eastAsia="仿宋"/>
                <w:bCs/>
                <w:color w:val="auto"/>
              </w:rPr>
              <w:t>足部的防护</w:t>
            </w:r>
          </w:p>
        </w:tc>
        <w:tc>
          <w:tcPr>
            <w:tcW w:w="2835" w:type="dxa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仿宋" w:hAnsi="仿宋" w:eastAsia="仿宋" w:cs="CIDFont+F2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sz w:val="24"/>
                <w:szCs w:val="24"/>
              </w:rPr>
              <w:drawing>
                <wp:inline distT="0" distB="0" distL="0" distR="0">
                  <wp:extent cx="790575" cy="581025"/>
                  <wp:effectExtent l="0" t="0" r="9525" b="952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  <w:vAlign w:val="center"/>
          </w:tcPr>
          <w:p>
            <w:pPr>
              <w:pStyle w:val="22"/>
              <w:rPr>
                <w:rFonts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/>
                <w:bCs/>
                <w:color w:val="auto"/>
              </w:rPr>
              <w:t>防滑、防砸、防穿刺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526" w:type="dxa"/>
            <w:vAlign w:val="center"/>
          </w:tcPr>
          <w:p>
            <w:pPr>
              <w:pStyle w:val="22"/>
              <w:jc w:val="both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工作服</w:t>
            </w:r>
          </w:p>
        </w:tc>
        <w:tc>
          <w:tcPr>
            <w:tcW w:w="2835" w:type="dxa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仿宋" w:hAnsi="仿宋" w:eastAsia="仿宋" w:cs="CIDFont+F2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drawing>
                <wp:inline distT="0" distB="0" distL="0" distR="0">
                  <wp:extent cx="874395" cy="1001395"/>
                  <wp:effectExtent l="0" t="0" r="1905" b="825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126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  <w:vAlign w:val="center"/>
          </w:tcPr>
          <w:p>
            <w:pPr>
              <w:pStyle w:val="22"/>
              <w:rPr>
                <w:rFonts w:ascii="仿宋" w:hAnsi="仿宋" w:eastAsia="仿宋"/>
                <w:color w:val="auto"/>
              </w:rPr>
            </w:pPr>
            <w:r>
              <w:rPr>
                <w:rFonts w:ascii="仿宋" w:hAnsi="仿宋" w:eastAsia="仿宋" w:cs="仿宋"/>
                <w:color w:val="auto"/>
              </w:rPr>
              <w:t>1</w:t>
            </w:r>
            <w:r>
              <w:rPr>
                <w:rFonts w:hint="eastAsia" w:ascii="仿宋" w:hAnsi="仿宋" w:eastAsia="仿宋"/>
                <w:color w:val="auto"/>
              </w:rPr>
              <w:t>、必须是长裤</w:t>
            </w:r>
          </w:p>
          <w:p>
            <w:pPr>
              <w:pStyle w:val="22"/>
              <w:rPr>
                <w:rFonts w:ascii="仿宋" w:hAnsi="仿宋" w:eastAsia="仿宋"/>
                <w:color w:val="auto"/>
              </w:rPr>
            </w:pPr>
            <w:r>
              <w:rPr>
                <w:rFonts w:ascii="仿宋" w:hAnsi="仿宋" w:eastAsia="仿宋" w:cs="仿宋"/>
                <w:color w:val="auto"/>
              </w:rPr>
              <w:t>2</w:t>
            </w:r>
            <w:r>
              <w:rPr>
                <w:rFonts w:hint="eastAsia" w:ascii="仿宋" w:hAnsi="仿宋" w:eastAsia="仿宋"/>
                <w:color w:val="auto"/>
              </w:rPr>
              <w:t>、防护服必须紧身不松垮，达到三紧要求</w:t>
            </w:r>
          </w:p>
          <w:p>
            <w:pPr>
              <w:pStyle w:val="22"/>
              <w:rPr>
                <w:rFonts w:ascii="仿宋" w:hAnsi="仿宋" w:eastAsia="仿宋"/>
                <w:color w:val="auto"/>
              </w:rPr>
            </w:pPr>
            <w:r>
              <w:rPr>
                <w:rFonts w:ascii="仿宋" w:hAnsi="仿宋" w:eastAsia="仿宋" w:cs="仿宋"/>
                <w:color w:val="auto"/>
              </w:rPr>
              <w:t>3</w:t>
            </w:r>
            <w:r>
              <w:rPr>
                <w:rFonts w:hint="eastAsia" w:ascii="仿宋" w:hAnsi="仿宋" w:eastAsia="仿宋"/>
                <w:color w:val="auto"/>
              </w:rPr>
              <w:t>、女生必须带工作帽、长发不得外露</w:t>
            </w:r>
          </w:p>
          <w:p>
            <w:pPr>
              <w:pStyle w:val="22"/>
              <w:rPr>
                <w:rFonts w:ascii="仿宋" w:hAnsi="仿宋" w:eastAsia="仿宋" w:cs="仿宋"/>
                <w:dstrike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526" w:type="dxa"/>
            <w:vAlign w:val="center"/>
          </w:tcPr>
          <w:p>
            <w:pPr>
              <w:pStyle w:val="22"/>
              <w:jc w:val="both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手套</w:t>
            </w:r>
          </w:p>
        </w:tc>
        <w:tc>
          <w:tcPr>
            <w:tcW w:w="2835" w:type="dxa"/>
          </w:tcPr>
          <w:p>
            <w:pPr>
              <w:autoSpaceDE w:val="0"/>
              <w:autoSpaceDN w:val="0"/>
              <w:adjustRightInd w:val="0"/>
              <w:ind w:left="480" w:firstLine="360"/>
              <w:jc w:val="center"/>
              <w:rPr>
                <w:rFonts w:ascii="仿宋" w:hAnsi="仿宋" w:eastAsia="仿宋" w:cs="CIDFont+F2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vAlign w:val="center"/>
          </w:tcPr>
          <w:p>
            <w:pPr>
              <w:pStyle w:val="22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根据操作项目视情选择及佩戴</w:t>
            </w:r>
          </w:p>
        </w:tc>
      </w:tr>
    </w:tbl>
    <w:p>
      <w:pPr>
        <w:pStyle w:val="3"/>
        <w:spacing w:line="360" w:lineRule="auto"/>
        <w:ind w:firstLine="240" w:firstLineChars="100"/>
        <w:rPr>
          <w:rFonts w:ascii="楷体" w:hAnsi="楷体" w:eastAsia="楷体" w:cs="楷体"/>
          <w:b w:val="0"/>
          <w:bCs w:val="0"/>
          <w:sz w:val="24"/>
          <w:szCs w:val="24"/>
        </w:rPr>
      </w:pPr>
      <w:bookmarkStart w:id="18" w:name="_Toc47862203"/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（二）选手禁止携带物品</w:t>
      </w:r>
      <w:bookmarkEnd w:id="18"/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1、任何储存液体、气体的压力容器；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2、任何有腐蚀性、放射性的化学物品；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3、任何可燃、可爆物品；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4、任何有毒、有害物品；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5、任何没有生产厂商或达不到国家安全标准的工具及设备；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6、任何可能危及安全问题的物品；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7、任何影响竞赛公平性的物品。</w:t>
      </w:r>
    </w:p>
    <w:p>
      <w:pPr>
        <w:pStyle w:val="3"/>
        <w:spacing w:line="360" w:lineRule="auto"/>
        <w:ind w:firstLine="240" w:firstLineChars="100"/>
        <w:rPr>
          <w:rFonts w:ascii="楷体" w:hAnsi="楷体" w:eastAsia="楷体" w:cs="楷体"/>
          <w:b w:val="0"/>
          <w:bCs w:val="0"/>
          <w:sz w:val="24"/>
          <w:szCs w:val="24"/>
        </w:rPr>
      </w:pPr>
      <w:bookmarkStart w:id="19" w:name="_Toc47862204"/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（三）场地安全</w:t>
      </w:r>
      <w:bookmarkEnd w:id="19"/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1、赛场需留有安全通道。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2、必须配备灭火设备。赛场应具备良好的通风、照明和操作空间的条件。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3、做好竞赛安全、健康和公共卫生及突发事件预防与应急处理等工作。</w:t>
      </w:r>
    </w:p>
    <w:p>
      <w:pPr>
        <w:pStyle w:val="18"/>
        <w:spacing w:line="360" w:lineRule="auto"/>
        <w:ind w:firstLine="480"/>
        <w:rPr>
          <w:rFonts w:ascii="仿宋" w:hAnsi="仿宋" w:eastAsia="仿宋"/>
          <w:kern w:val="0"/>
          <w:sz w:val="24"/>
          <w:szCs w:val="24"/>
        </w:rPr>
      </w:pPr>
      <w:r>
        <w:rPr>
          <w:rFonts w:hint="eastAsia" w:ascii="仿宋" w:hAnsi="仿宋" w:eastAsia="仿宋"/>
          <w:kern w:val="0"/>
          <w:sz w:val="24"/>
          <w:szCs w:val="24"/>
        </w:rPr>
        <w:t>4、赛场需配备医护人员和必须的药品。</w:t>
      </w:r>
    </w:p>
    <w:p>
      <w:pPr>
        <w:pStyle w:val="2"/>
        <w:spacing w:line="360" w:lineRule="auto"/>
        <w:rPr>
          <w:rFonts w:ascii="黑体" w:hAnsi="黑体" w:cs="黑体"/>
          <w:b w:val="0"/>
          <w:sz w:val="28"/>
          <w:szCs w:val="28"/>
        </w:rPr>
      </w:pPr>
      <w:bookmarkStart w:id="20" w:name="_Toc14578"/>
      <w:r>
        <w:rPr>
          <w:rFonts w:hint="eastAsia" w:ascii="黑体" w:hAnsi="黑体" w:cs="黑体"/>
          <w:b w:val="0"/>
          <w:sz w:val="28"/>
          <w:szCs w:val="28"/>
        </w:rPr>
        <w:t>七、绿色环保</w:t>
      </w:r>
      <w:bookmarkEnd w:id="20"/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</w:rPr>
      </w:pPr>
      <w:r>
        <w:rPr>
          <w:rFonts w:hint="eastAsia" w:ascii="仿宋" w:hAnsi="仿宋" w:eastAsia="仿宋" w:cs="仿宋"/>
          <w:color w:val="000000" w:themeColor="text1"/>
          <w:sz w:val="24"/>
        </w:rPr>
        <w:t>1、大赛任何工作都不应该破坏赛场周边环境；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</w:rPr>
      </w:pPr>
      <w:r>
        <w:rPr>
          <w:rFonts w:hint="eastAsia" w:ascii="仿宋" w:hAnsi="仿宋" w:eastAsia="仿宋" w:cs="仿宋"/>
          <w:color w:val="000000" w:themeColor="text1"/>
          <w:sz w:val="24"/>
        </w:rPr>
        <w:t>2、保护赛场环境，所有参赛者应在离场时带走个人在比赛期间产生的垃圾；</w:t>
      </w:r>
    </w:p>
    <w:p>
      <w:pPr>
        <w:adjustRightInd w:val="0"/>
        <w:snapToGrid w:val="0"/>
        <w:spacing w:line="360" w:lineRule="auto"/>
        <w:ind w:firstLine="480" w:firstLineChars="200"/>
      </w:pPr>
      <w:r>
        <w:rPr>
          <w:rFonts w:hint="eastAsia" w:ascii="仿宋" w:hAnsi="仿宋" w:eastAsia="仿宋" w:cs="仿宋"/>
          <w:color w:val="000000" w:themeColor="text1"/>
          <w:sz w:val="24"/>
        </w:rPr>
        <w:t>3、</w:t>
      </w:r>
      <w:r>
        <w:rPr>
          <w:rFonts w:hint="eastAsia" w:ascii="仿宋" w:hAnsi="仿宋" w:eastAsia="仿宋" w:cs="仿宋"/>
          <w:sz w:val="24"/>
        </w:rPr>
        <w:t>提倡绿色制造的理念，所有可循环利用的材料都应分类处理和收集。</w:t>
      </w:r>
    </w:p>
    <w:p>
      <w:pPr>
        <w:spacing w:line="360" w:lineRule="auto"/>
        <w:ind w:firstLine="0" w:firstLineChars="0"/>
        <w:rPr>
          <w:rFonts w:ascii="黑体" w:hAnsi="黑体" w:eastAsia="黑体" w:cs="黑体"/>
          <w:bCs/>
          <w:kern w:val="44"/>
          <w:sz w:val="28"/>
          <w:szCs w:val="28"/>
        </w:rPr>
      </w:pPr>
      <w:r>
        <w:rPr>
          <w:rFonts w:hint="eastAsia" w:ascii="黑体" w:hAnsi="黑体" w:eastAsia="黑体" w:cs="黑体"/>
          <w:bCs/>
          <w:kern w:val="44"/>
          <w:sz w:val="28"/>
          <w:szCs w:val="28"/>
        </w:rPr>
        <w:t>八、备注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1、本技术文件仅针对操作技能竞赛；如需理论竞赛，相关内容另行通知。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2、本技术文件解释权归大赛组委会。</w:t>
      </w:r>
    </w:p>
    <w:p>
      <w:pPr>
        <w:ind w:firstLine="450" w:firstLineChars="0"/>
        <w:rPr>
          <w:rFonts w:ascii="仿宋" w:hAnsi="仿宋" w:eastAsia="仿宋" w:cs="CIDFont+F2"/>
          <w:kern w:val="0"/>
          <w:sz w:val="24"/>
          <w:szCs w:val="24"/>
        </w:rPr>
      </w:pPr>
    </w:p>
    <w:sectPr>
      <w:footerReference r:id="rId9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IDFont+F3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IDFont+F4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IDFont+F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270"/>
      <w:jc w:val="right"/>
    </w:pPr>
  </w:p>
  <w:p>
    <w:pPr>
      <w:pStyle w:val="9"/>
      <w:ind w:firstLine="27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27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27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4603"/>
    </w:sdtPr>
    <w:sdtContent>
      <w:p>
        <w:pPr>
          <w:pStyle w:val="9"/>
          <w:ind w:firstLine="27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9"/>
      <w:ind w:firstLine="27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ind w:firstLine="27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27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27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676D"/>
    <w:rsid w:val="000018E2"/>
    <w:rsid w:val="00004BC9"/>
    <w:rsid w:val="0001453E"/>
    <w:rsid w:val="0001676D"/>
    <w:rsid w:val="000225D0"/>
    <w:rsid w:val="00025544"/>
    <w:rsid w:val="00025D51"/>
    <w:rsid w:val="000279D8"/>
    <w:rsid w:val="00031ED3"/>
    <w:rsid w:val="0004759E"/>
    <w:rsid w:val="00047FD7"/>
    <w:rsid w:val="0005361E"/>
    <w:rsid w:val="00063A26"/>
    <w:rsid w:val="000653AC"/>
    <w:rsid w:val="000734DA"/>
    <w:rsid w:val="000775E1"/>
    <w:rsid w:val="00077627"/>
    <w:rsid w:val="00085FA9"/>
    <w:rsid w:val="00097B04"/>
    <w:rsid w:val="000A23D5"/>
    <w:rsid w:val="000A3370"/>
    <w:rsid w:val="000A523C"/>
    <w:rsid w:val="000B1609"/>
    <w:rsid w:val="000B331D"/>
    <w:rsid w:val="000B7B33"/>
    <w:rsid w:val="000C31F7"/>
    <w:rsid w:val="000C5B98"/>
    <w:rsid w:val="000E0FD5"/>
    <w:rsid w:val="000E4BDF"/>
    <w:rsid w:val="0010036F"/>
    <w:rsid w:val="00105EDE"/>
    <w:rsid w:val="001133EC"/>
    <w:rsid w:val="001138AF"/>
    <w:rsid w:val="00116A52"/>
    <w:rsid w:val="00131C63"/>
    <w:rsid w:val="0013259D"/>
    <w:rsid w:val="00146831"/>
    <w:rsid w:val="00157C79"/>
    <w:rsid w:val="00162831"/>
    <w:rsid w:val="00181206"/>
    <w:rsid w:val="00182EE8"/>
    <w:rsid w:val="00197B55"/>
    <w:rsid w:val="00197E7C"/>
    <w:rsid w:val="001A51D2"/>
    <w:rsid w:val="001B5FE9"/>
    <w:rsid w:val="001C6B03"/>
    <w:rsid w:val="001D1D2E"/>
    <w:rsid w:val="001E7D70"/>
    <w:rsid w:val="00200CA3"/>
    <w:rsid w:val="002173F9"/>
    <w:rsid w:val="00224A3E"/>
    <w:rsid w:val="00230B52"/>
    <w:rsid w:val="00234F7D"/>
    <w:rsid w:val="00236024"/>
    <w:rsid w:val="00237235"/>
    <w:rsid w:val="002458F1"/>
    <w:rsid w:val="00251039"/>
    <w:rsid w:val="00261439"/>
    <w:rsid w:val="00261BC1"/>
    <w:rsid w:val="00262EF2"/>
    <w:rsid w:val="00263D65"/>
    <w:rsid w:val="00270110"/>
    <w:rsid w:val="002735CB"/>
    <w:rsid w:val="00277427"/>
    <w:rsid w:val="002824F0"/>
    <w:rsid w:val="00295601"/>
    <w:rsid w:val="002B1129"/>
    <w:rsid w:val="002C5CE9"/>
    <w:rsid w:val="002D028B"/>
    <w:rsid w:val="002D24D2"/>
    <w:rsid w:val="002D68A0"/>
    <w:rsid w:val="002F008C"/>
    <w:rsid w:val="002F1E40"/>
    <w:rsid w:val="002F65DA"/>
    <w:rsid w:val="00301D65"/>
    <w:rsid w:val="00305494"/>
    <w:rsid w:val="00313197"/>
    <w:rsid w:val="0032045D"/>
    <w:rsid w:val="00321E1C"/>
    <w:rsid w:val="003267E0"/>
    <w:rsid w:val="0033278F"/>
    <w:rsid w:val="00332983"/>
    <w:rsid w:val="00343348"/>
    <w:rsid w:val="00353450"/>
    <w:rsid w:val="00366758"/>
    <w:rsid w:val="00371B2B"/>
    <w:rsid w:val="00377EE3"/>
    <w:rsid w:val="00381B66"/>
    <w:rsid w:val="00385026"/>
    <w:rsid w:val="003858B7"/>
    <w:rsid w:val="003970F9"/>
    <w:rsid w:val="003A198F"/>
    <w:rsid w:val="003A35DD"/>
    <w:rsid w:val="003B05EB"/>
    <w:rsid w:val="003B60C3"/>
    <w:rsid w:val="003C7CA1"/>
    <w:rsid w:val="003D0333"/>
    <w:rsid w:val="003D5098"/>
    <w:rsid w:val="003E02AF"/>
    <w:rsid w:val="003E1EA2"/>
    <w:rsid w:val="003E255E"/>
    <w:rsid w:val="003E749C"/>
    <w:rsid w:val="003F49C9"/>
    <w:rsid w:val="003F5E30"/>
    <w:rsid w:val="00410B3D"/>
    <w:rsid w:val="00423BA6"/>
    <w:rsid w:val="00424531"/>
    <w:rsid w:val="004248A9"/>
    <w:rsid w:val="004270E7"/>
    <w:rsid w:val="00447556"/>
    <w:rsid w:val="00450118"/>
    <w:rsid w:val="004524D5"/>
    <w:rsid w:val="0046306F"/>
    <w:rsid w:val="00463DF2"/>
    <w:rsid w:val="00476C88"/>
    <w:rsid w:val="004777B0"/>
    <w:rsid w:val="0049672C"/>
    <w:rsid w:val="004B10E3"/>
    <w:rsid w:val="004B5434"/>
    <w:rsid w:val="004D0D80"/>
    <w:rsid w:val="004D0E7F"/>
    <w:rsid w:val="004E2421"/>
    <w:rsid w:val="004E447C"/>
    <w:rsid w:val="004E45B9"/>
    <w:rsid w:val="00511B58"/>
    <w:rsid w:val="0051769A"/>
    <w:rsid w:val="00521F8C"/>
    <w:rsid w:val="00525194"/>
    <w:rsid w:val="00545C6D"/>
    <w:rsid w:val="0054772F"/>
    <w:rsid w:val="005538D0"/>
    <w:rsid w:val="00560C1E"/>
    <w:rsid w:val="005612C5"/>
    <w:rsid w:val="00561D58"/>
    <w:rsid w:val="0057102E"/>
    <w:rsid w:val="005831C0"/>
    <w:rsid w:val="0058374F"/>
    <w:rsid w:val="00584EFA"/>
    <w:rsid w:val="00586278"/>
    <w:rsid w:val="0058748D"/>
    <w:rsid w:val="00593B64"/>
    <w:rsid w:val="00597849"/>
    <w:rsid w:val="005B2E5D"/>
    <w:rsid w:val="005B312E"/>
    <w:rsid w:val="005B5620"/>
    <w:rsid w:val="005B59DD"/>
    <w:rsid w:val="005E7ECA"/>
    <w:rsid w:val="005F1326"/>
    <w:rsid w:val="0060716A"/>
    <w:rsid w:val="006107F8"/>
    <w:rsid w:val="00610EDE"/>
    <w:rsid w:val="00611C91"/>
    <w:rsid w:val="006179BF"/>
    <w:rsid w:val="00622889"/>
    <w:rsid w:val="00622A11"/>
    <w:rsid w:val="0062796F"/>
    <w:rsid w:val="006318C4"/>
    <w:rsid w:val="0064335B"/>
    <w:rsid w:val="00645CEF"/>
    <w:rsid w:val="006541B1"/>
    <w:rsid w:val="00661735"/>
    <w:rsid w:val="00667226"/>
    <w:rsid w:val="00670E0A"/>
    <w:rsid w:val="0067130E"/>
    <w:rsid w:val="00677072"/>
    <w:rsid w:val="0068210E"/>
    <w:rsid w:val="00690DD0"/>
    <w:rsid w:val="006A4108"/>
    <w:rsid w:val="006A6F7B"/>
    <w:rsid w:val="006B34DB"/>
    <w:rsid w:val="006B789B"/>
    <w:rsid w:val="006C2DA4"/>
    <w:rsid w:val="006C52F6"/>
    <w:rsid w:val="006C6DE7"/>
    <w:rsid w:val="006D1E0B"/>
    <w:rsid w:val="006D4737"/>
    <w:rsid w:val="006E1FC9"/>
    <w:rsid w:val="006E53D4"/>
    <w:rsid w:val="006F0D32"/>
    <w:rsid w:val="006F3329"/>
    <w:rsid w:val="006F36AD"/>
    <w:rsid w:val="006F733C"/>
    <w:rsid w:val="007036D5"/>
    <w:rsid w:val="00711B49"/>
    <w:rsid w:val="007300B6"/>
    <w:rsid w:val="00737996"/>
    <w:rsid w:val="00741640"/>
    <w:rsid w:val="00760ED8"/>
    <w:rsid w:val="00761D1B"/>
    <w:rsid w:val="00764AB2"/>
    <w:rsid w:val="007653EB"/>
    <w:rsid w:val="00770071"/>
    <w:rsid w:val="00772608"/>
    <w:rsid w:val="00794DB2"/>
    <w:rsid w:val="0079630E"/>
    <w:rsid w:val="007A0B93"/>
    <w:rsid w:val="007A2CA2"/>
    <w:rsid w:val="007C798F"/>
    <w:rsid w:val="007C7AAA"/>
    <w:rsid w:val="007D1ED9"/>
    <w:rsid w:val="007D3C97"/>
    <w:rsid w:val="007F43FB"/>
    <w:rsid w:val="007F4852"/>
    <w:rsid w:val="0080628C"/>
    <w:rsid w:val="0081559A"/>
    <w:rsid w:val="008231AA"/>
    <w:rsid w:val="0084056E"/>
    <w:rsid w:val="0084458B"/>
    <w:rsid w:val="0084637B"/>
    <w:rsid w:val="00847E15"/>
    <w:rsid w:val="00852B46"/>
    <w:rsid w:val="00857759"/>
    <w:rsid w:val="00857CF7"/>
    <w:rsid w:val="00862ACD"/>
    <w:rsid w:val="00886A80"/>
    <w:rsid w:val="0088746C"/>
    <w:rsid w:val="00887CFD"/>
    <w:rsid w:val="00890C86"/>
    <w:rsid w:val="00896C2B"/>
    <w:rsid w:val="008A0B72"/>
    <w:rsid w:val="008A0C08"/>
    <w:rsid w:val="008A1109"/>
    <w:rsid w:val="008A3571"/>
    <w:rsid w:val="008B156C"/>
    <w:rsid w:val="008B27A1"/>
    <w:rsid w:val="008B7DD5"/>
    <w:rsid w:val="008C3846"/>
    <w:rsid w:val="008C5E62"/>
    <w:rsid w:val="008D3E17"/>
    <w:rsid w:val="008D7960"/>
    <w:rsid w:val="008E2E42"/>
    <w:rsid w:val="008F2BED"/>
    <w:rsid w:val="008F3184"/>
    <w:rsid w:val="008F56A5"/>
    <w:rsid w:val="00921219"/>
    <w:rsid w:val="00922734"/>
    <w:rsid w:val="00922934"/>
    <w:rsid w:val="00926383"/>
    <w:rsid w:val="00930C0C"/>
    <w:rsid w:val="009329D1"/>
    <w:rsid w:val="00934626"/>
    <w:rsid w:val="00934FCA"/>
    <w:rsid w:val="0093514D"/>
    <w:rsid w:val="009415F9"/>
    <w:rsid w:val="00943EEF"/>
    <w:rsid w:val="00944D36"/>
    <w:rsid w:val="0094752B"/>
    <w:rsid w:val="0096470F"/>
    <w:rsid w:val="00965952"/>
    <w:rsid w:val="00967F68"/>
    <w:rsid w:val="00971DCC"/>
    <w:rsid w:val="00972028"/>
    <w:rsid w:val="00972D07"/>
    <w:rsid w:val="00977059"/>
    <w:rsid w:val="009771D3"/>
    <w:rsid w:val="00986DC8"/>
    <w:rsid w:val="009A17F1"/>
    <w:rsid w:val="009A3E0E"/>
    <w:rsid w:val="009B1D7E"/>
    <w:rsid w:val="009B44CE"/>
    <w:rsid w:val="009B598F"/>
    <w:rsid w:val="009C432A"/>
    <w:rsid w:val="009C43E8"/>
    <w:rsid w:val="009C5046"/>
    <w:rsid w:val="009C5108"/>
    <w:rsid w:val="009D0052"/>
    <w:rsid w:val="009D2DA4"/>
    <w:rsid w:val="009D4F3A"/>
    <w:rsid w:val="009E0B27"/>
    <w:rsid w:val="009E1BA2"/>
    <w:rsid w:val="009E3D9E"/>
    <w:rsid w:val="009F1FF8"/>
    <w:rsid w:val="00A000E3"/>
    <w:rsid w:val="00A004A9"/>
    <w:rsid w:val="00A053D5"/>
    <w:rsid w:val="00A24047"/>
    <w:rsid w:val="00A318BB"/>
    <w:rsid w:val="00A41CC5"/>
    <w:rsid w:val="00A44021"/>
    <w:rsid w:val="00A47379"/>
    <w:rsid w:val="00A549FE"/>
    <w:rsid w:val="00A5684B"/>
    <w:rsid w:val="00A60F08"/>
    <w:rsid w:val="00A614C7"/>
    <w:rsid w:val="00A677BF"/>
    <w:rsid w:val="00A85629"/>
    <w:rsid w:val="00A8700A"/>
    <w:rsid w:val="00A93118"/>
    <w:rsid w:val="00AA4D8E"/>
    <w:rsid w:val="00AB325D"/>
    <w:rsid w:val="00AC5EAD"/>
    <w:rsid w:val="00AC74E7"/>
    <w:rsid w:val="00AD53D7"/>
    <w:rsid w:val="00AE4711"/>
    <w:rsid w:val="00AE6C72"/>
    <w:rsid w:val="00AF061D"/>
    <w:rsid w:val="00B01015"/>
    <w:rsid w:val="00B06490"/>
    <w:rsid w:val="00B16B63"/>
    <w:rsid w:val="00B16C1A"/>
    <w:rsid w:val="00B31835"/>
    <w:rsid w:val="00B40B44"/>
    <w:rsid w:val="00B4385E"/>
    <w:rsid w:val="00B4462D"/>
    <w:rsid w:val="00B507BA"/>
    <w:rsid w:val="00B52942"/>
    <w:rsid w:val="00B52E7F"/>
    <w:rsid w:val="00B54F53"/>
    <w:rsid w:val="00B601DD"/>
    <w:rsid w:val="00B636CA"/>
    <w:rsid w:val="00B6416C"/>
    <w:rsid w:val="00B674C4"/>
    <w:rsid w:val="00B71649"/>
    <w:rsid w:val="00B75670"/>
    <w:rsid w:val="00B84256"/>
    <w:rsid w:val="00B8436F"/>
    <w:rsid w:val="00B848CC"/>
    <w:rsid w:val="00B851AA"/>
    <w:rsid w:val="00B924C9"/>
    <w:rsid w:val="00BA0DF2"/>
    <w:rsid w:val="00BA6943"/>
    <w:rsid w:val="00BB1181"/>
    <w:rsid w:val="00BB1B32"/>
    <w:rsid w:val="00BB2C86"/>
    <w:rsid w:val="00BB63F2"/>
    <w:rsid w:val="00BD585B"/>
    <w:rsid w:val="00BE7203"/>
    <w:rsid w:val="00BF27B6"/>
    <w:rsid w:val="00BF3D8E"/>
    <w:rsid w:val="00BF6554"/>
    <w:rsid w:val="00C116FE"/>
    <w:rsid w:val="00C12C67"/>
    <w:rsid w:val="00C202C8"/>
    <w:rsid w:val="00C20D8A"/>
    <w:rsid w:val="00C30166"/>
    <w:rsid w:val="00C32784"/>
    <w:rsid w:val="00C34104"/>
    <w:rsid w:val="00C402D5"/>
    <w:rsid w:val="00C435D9"/>
    <w:rsid w:val="00C64127"/>
    <w:rsid w:val="00C65CB0"/>
    <w:rsid w:val="00C67606"/>
    <w:rsid w:val="00C873C7"/>
    <w:rsid w:val="00C94695"/>
    <w:rsid w:val="00CB0419"/>
    <w:rsid w:val="00CB240A"/>
    <w:rsid w:val="00CB6985"/>
    <w:rsid w:val="00CD002D"/>
    <w:rsid w:val="00CD78FD"/>
    <w:rsid w:val="00CE60E2"/>
    <w:rsid w:val="00CF4CB9"/>
    <w:rsid w:val="00D06D2C"/>
    <w:rsid w:val="00D30D5C"/>
    <w:rsid w:val="00D371F3"/>
    <w:rsid w:val="00D431A3"/>
    <w:rsid w:val="00D439D6"/>
    <w:rsid w:val="00D45D6F"/>
    <w:rsid w:val="00D52610"/>
    <w:rsid w:val="00D57440"/>
    <w:rsid w:val="00D76296"/>
    <w:rsid w:val="00D87B87"/>
    <w:rsid w:val="00D900B5"/>
    <w:rsid w:val="00D95312"/>
    <w:rsid w:val="00DA0435"/>
    <w:rsid w:val="00DA54DC"/>
    <w:rsid w:val="00DA56ED"/>
    <w:rsid w:val="00DA67E0"/>
    <w:rsid w:val="00DA7253"/>
    <w:rsid w:val="00DB0949"/>
    <w:rsid w:val="00DC1188"/>
    <w:rsid w:val="00DC2537"/>
    <w:rsid w:val="00DC253C"/>
    <w:rsid w:val="00DC3C42"/>
    <w:rsid w:val="00DC586F"/>
    <w:rsid w:val="00DD330B"/>
    <w:rsid w:val="00DD62B3"/>
    <w:rsid w:val="00DD7829"/>
    <w:rsid w:val="00DE0B1E"/>
    <w:rsid w:val="00DE1355"/>
    <w:rsid w:val="00DE2C23"/>
    <w:rsid w:val="00DE2DF4"/>
    <w:rsid w:val="00DF3D3B"/>
    <w:rsid w:val="00DF3F71"/>
    <w:rsid w:val="00DF5CD0"/>
    <w:rsid w:val="00DF79D2"/>
    <w:rsid w:val="00E02A9E"/>
    <w:rsid w:val="00E045AF"/>
    <w:rsid w:val="00E06DD6"/>
    <w:rsid w:val="00E123D8"/>
    <w:rsid w:val="00E15C74"/>
    <w:rsid w:val="00E16C03"/>
    <w:rsid w:val="00E3017B"/>
    <w:rsid w:val="00E3040E"/>
    <w:rsid w:val="00E30967"/>
    <w:rsid w:val="00E4388A"/>
    <w:rsid w:val="00E50E6D"/>
    <w:rsid w:val="00E80F6F"/>
    <w:rsid w:val="00E81C7D"/>
    <w:rsid w:val="00E8757C"/>
    <w:rsid w:val="00E93319"/>
    <w:rsid w:val="00EA1FB8"/>
    <w:rsid w:val="00EA242C"/>
    <w:rsid w:val="00EA4B95"/>
    <w:rsid w:val="00EA4C59"/>
    <w:rsid w:val="00EB4CA2"/>
    <w:rsid w:val="00EC0BB3"/>
    <w:rsid w:val="00EC630D"/>
    <w:rsid w:val="00ED4E50"/>
    <w:rsid w:val="00ED5C1C"/>
    <w:rsid w:val="00EE10C5"/>
    <w:rsid w:val="00EE32C4"/>
    <w:rsid w:val="00EE54B1"/>
    <w:rsid w:val="00EE5F9A"/>
    <w:rsid w:val="00EE6526"/>
    <w:rsid w:val="00EF3081"/>
    <w:rsid w:val="00EF3BE4"/>
    <w:rsid w:val="00F02454"/>
    <w:rsid w:val="00F077CC"/>
    <w:rsid w:val="00F10BD7"/>
    <w:rsid w:val="00F12DFE"/>
    <w:rsid w:val="00F149CF"/>
    <w:rsid w:val="00F1644B"/>
    <w:rsid w:val="00F20F58"/>
    <w:rsid w:val="00F23B85"/>
    <w:rsid w:val="00F2533A"/>
    <w:rsid w:val="00F40D5C"/>
    <w:rsid w:val="00F41067"/>
    <w:rsid w:val="00F46C4B"/>
    <w:rsid w:val="00F51A87"/>
    <w:rsid w:val="00F57ACB"/>
    <w:rsid w:val="00F70CB1"/>
    <w:rsid w:val="00F74C6C"/>
    <w:rsid w:val="00F76F83"/>
    <w:rsid w:val="00F778F2"/>
    <w:rsid w:val="00FA4FB0"/>
    <w:rsid w:val="00FA60D1"/>
    <w:rsid w:val="00FA7D6F"/>
    <w:rsid w:val="00FC180B"/>
    <w:rsid w:val="00FC72B1"/>
    <w:rsid w:val="00FD4D71"/>
    <w:rsid w:val="00FF4AD3"/>
    <w:rsid w:val="010B363F"/>
    <w:rsid w:val="10860DCA"/>
    <w:rsid w:val="152068E0"/>
    <w:rsid w:val="22335A81"/>
    <w:rsid w:val="2723692B"/>
    <w:rsid w:val="3C7456D0"/>
    <w:rsid w:val="3C796532"/>
    <w:rsid w:val="461D4A86"/>
    <w:rsid w:val="56AD1F2C"/>
    <w:rsid w:val="5A4454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atLeast"/>
      <w:ind w:firstLine="150" w:firstLineChars="150"/>
    </w:pPr>
    <w:rPr>
      <w:rFonts w:asciiTheme="minorHAnsi" w:hAnsiTheme="minorHAnsi" w:eastAsiaTheme="minorEastAsia" w:cstheme="minorBidi"/>
      <w:kern w:val="2"/>
      <w:sz w:val="30"/>
      <w:szCs w:val="21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ind w:firstLine="0" w:firstLineChars="0"/>
      <w:outlineLvl w:val="0"/>
    </w:pPr>
    <w:rPr>
      <w:rFonts w:eastAsia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"/>
    <w:pPr>
      <w:keepNext/>
      <w:keepLines/>
      <w:ind w:firstLine="0" w:firstLineChars="0"/>
      <w:outlineLvl w:val="1"/>
    </w:pPr>
    <w:rPr>
      <w:rFonts w:eastAsia="黑体" w:asciiTheme="majorHAnsi" w:hAnsiTheme="majorHAnsi" w:cstheme="majorBidi"/>
      <w:b/>
      <w:bCs/>
      <w:szCs w:val="32"/>
    </w:rPr>
  </w:style>
  <w:style w:type="paragraph" w:styleId="4">
    <w:name w:val="heading 3"/>
    <w:basedOn w:val="1"/>
    <w:next w:val="1"/>
    <w:link w:val="26"/>
    <w:qFormat/>
    <w:uiPriority w:val="9"/>
    <w:pPr>
      <w:keepNext/>
      <w:keepLines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link w:val="27"/>
    <w:qFormat/>
    <w:uiPriority w:val="9"/>
    <w:pPr>
      <w:keepNext/>
      <w:keepLines/>
      <w:spacing w:before="280" w:after="290" w:line="377" w:lineRule="auto"/>
      <w:ind w:firstLine="0" w:firstLineChars="0"/>
      <w:outlineLvl w:val="3"/>
    </w:pPr>
    <w:rPr>
      <w:rFonts w:eastAsia="黑体" w:asciiTheme="majorHAnsi" w:hAnsiTheme="majorHAnsi" w:cstheme="majorBidi"/>
      <w:b/>
      <w:bCs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2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480" w:lineRule="exact"/>
      <w:ind w:firstLine="0" w:firstLineChars="0"/>
      <w:jc w:val="center"/>
    </w:pPr>
    <w:rPr>
      <w:b/>
    </w:rPr>
  </w:style>
  <w:style w:type="paragraph" w:styleId="12">
    <w:name w:val="toc 2"/>
    <w:basedOn w:val="1"/>
    <w:next w:val="1"/>
    <w:unhideWhenUsed/>
    <w:qFormat/>
    <w:uiPriority w:val="39"/>
    <w:pPr>
      <w:tabs>
        <w:tab w:val="right" w:leader="dot" w:pos="8296"/>
      </w:tabs>
      <w:spacing w:line="520" w:lineRule="exact"/>
      <w:ind w:firstLine="567" w:firstLineChars="189"/>
    </w:pPr>
  </w:style>
  <w:style w:type="table" w:styleId="14">
    <w:name w:val="Table Grid"/>
    <w:basedOn w:val="1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日期 字符"/>
    <w:basedOn w:val="15"/>
    <w:link w:val="7"/>
    <w:semiHidden/>
    <w:qFormat/>
    <w:uiPriority w:val="99"/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字符"/>
    <w:basedOn w:val="15"/>
    <w:link w:val="10"/>
    <w:qFormat/>
    <w:uiPriority w:val="99"/>
    <w:rPr>
      <w:sz w:val="18"/>
      <w:szCs w:val="18"/>
    </w:rPr>
  </w:style>
  <w:style w:type="character" w:customStyle="1" w:styleId="20">
    <w:name w:val="页脚 字符"/>
    <w:basedOn w:val="15"/>
    <w:link w:val="9"/>
    <w:qFormat/>
    <w:uiPriority w:val="99"/>
    <w:rPr>
      <w:sz w:val="18"/>
      <w:szCs w:val="18"/>
    </w:rPr>
  </w:style>
  <w:style w:type="character" w:customStyle="1" w:styleId="21">
    <w:name w:val="批注框文本 字符"/>
    <w:basedOn w:val="15"/>
    <w:link w:val="8"/>
    <w:semiHidden/>
    <w:qFormat/>
    <w:uiPriority w:val="99"/>
    <w:rPr>
      <w:sz w:val="18"/>
      <w:szCs w:val="18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23">
    <w:name w:val="文档结构图 字符"/>
    <w:basedOn w:val="15"/>
    <w:link w:val="6"/>
    <w:semiHidden/>
    <w:qFormat/>
    <w:uiPriority w:val="99"/>
    <w:rPr>
      <w:rFonts w:ascii="宋体" w:eastAsia="宋体"/>
      <w:sz w:val="18"/>
      <w:szCs w:val="18"/>
    </w:rPr>
  </w:style>
  <w:style w:type="character" w:customStyle="1" w:styleId="24">
    <w:name w:val="标题 1 字符"/>
    <w:basedOn w:val="15"/>
    <w:link w:val="2"/>
    <w:qFormat/>
    <w:uiPriority w:val="9"/>
    <w:rPr>
      <w:rFonts w:eastAsia="黑体"/>
      <w:b/>
      <w:bCs/>
      <w:kern w:val="44"/>
      <w:sz w:val="44"/>
      <w:szCs w:val="44"/>
    </w:rPr>
  </w:style>
  <w:style w:type="character" w:customStyle="1" w:styleId="25">
    <w:name w:val="标题 2 字符"/>
    <w:basedOn w:val="15"/>
    <w:link w:val="3"/>
    <w:qFormat/>
    <w:uiPriority w:val="9"/>
    <w:rPr>
      <w:rFonts w:eastAsia="黑体" w:asciiTheme="majorHAnsi" w:hAnsiTheme="majorHAnsi" w:cstheme="majorBidi"/>
      <w:b/>
      <w:bCs/>
      <w:sz w:val="30"/>
      <w:szCs w:val="32"/>
    </w:rPr>
  </w:style>
  <w:style w:type="character" w:customStyle="1" w:styleId="26">
    <w:name w:val="标题 3 字符"/>
    <w:basedOn w:val="15"/>
    <w:link w:val="4"/>
    <w:qFormat/>
    <w:uiPriority w:val="9"/>
    <w:rPr>
      <w:rFonts w:eastAsia="黑体"/>
      <w:b/>
      <w:bCs/>
      <w:sz w:val="30"/>
      <w:szCs w:val="32"/>
    </w:rPr>
  </w:style>
  <w:style w:type="character" w:customStyle="1" w:styleId="27">
    <w:name w:val="标题 4 字符"/>
    <w:basedOn w:val="15"/>
    <w:link w:val="5"/>
    <w:qFormat/>
    <w:uiPriority w:val="9"/>
    <w:rPr>
      <w:rFonts w:eastAsia="黑体" w:asciiTheme="majorHAnsi" w:hAnsiTheme="majorHAnsi" w:cstheme="majorBidi"/>
      <w:b/>
      <w:bCs/>
      <w:sz w:val="3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3.jpeg"/><Relationship Id="rId12" Type="http://schemas.openxmlformats.org/officeDocument/2006/relationships/image" Target="media/image2.jpeg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1F3D45-7DF7-43C3-B3CF-9D0EC5B3E1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711</Words>
  <Characters>4056</Characters>
  <Lines>33</Lines>
  <Paragraphs>9</Paragraphs>
  <TotalTime>1032</TotalTime>
  <ScaleCrop>false</ScaleCrop>
  <LinksUpToDate>false</LinksUpToDate>
  <CharactersWithSpaces>4758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2020-08-06T09:17:00Z</dcterms:created>
  <dc:creator>郎旭东</dc:creator>
  <cp:lastModifiedBy>Dell</cp:lastModifiedBy>
  <dcterms:modified xsi:type="dcterms:W3CDTF">2020-09-08T02:08:30Z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